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E2FDA" w14:textId="535E5A44" w:rsidR="00B8519B" w:rsidRPr="00B8519B" w:rsidRDefault="00B8519B" w:rsidP="009A18F3">
      <w:pPr>
        <w:jc w:val="center"/>
        <w:rPr>
          <w:rFonts w:ascii="Times New Roman" w:hAnsi="Times New Roman" w:cs="Times New Roman"/>
          <w:b/>
          <w:bCs/>
          <w:sz w:val="28"/>
          <w:szCs w:val="28"/>
          <w:u w:val="single"/>
        </w:rPr>
      </w:pPr>
      <w:r w:rsidRPr="00B8519B">
        <w:rPr>
          <w:rFonts w:ascii="Times New Roman" w:hAnsi="Times New Roman" w:cs="Times New Roman"/>
          <w:b/>
          <w:bCs/>
          <w:sz w:val="28"/>
          <w:szCs w:val="28"/>
          <w:u w:val="single"/>
        </w:rPr>
        <w:t>ALEGACIONES PROYECTO MODIFICACION REGLAMENTO DE ARMAS</w:t>
      </w:r>
    </w:p>
    <w:p w14:paraId="41C96D2D" w14:textId="77777777" w:rsidR="00B8519B" w:rsidRDefault="00B8519B">
      <w:pPr>
        <w:rPr>
          <w:rFonts w:ascii="Times New Roman" w:hAnsi="Times New Roman" w:cs="Times New Roman"/>
          <w:sz w:val="28"/>
          <w:szCs w:val="28"/>
        </w:rPr>
      </w:pPr>
    </w:p>
    <w:p w14:paraId="7F5C22F8" w14:textId="5ED2686E" w:rsidR="00242554" w:rsidRDefault="008C246B" w:rsidP="00B8519B">
      <w:pPr>
        <w:jc w:val="both"/>
        <w:rPr>
          <w:rFonts w:ascii="Times New Roman" w:hAnsi="Times New Roman" w:cs="Times New Roman"/>
          <w:sz w:val="28"/>
          <w:szCs w:val="28"/>
        </w:rPr>
      </w:pPr>
      <w:r w:rsidRPr="00B8519B">
        <w:rPr>
          <w:rFonts w:ascii="Times New Roman" w:hAnsi="Times New Roman" w:cs="Times New Roman"/>
          <w:b/>
          <w:bCs/>
          <w:sz w:val="28"/>
          <w:szCs w:val="28"/>
        </w:rPr>
        <w:t xml:space="preserve">D. </w:t>
      </w:r>
      <w:r w:rsidR="00D30988" w:rsidRPr="00DD1541">
        <w:rPr>
          <w:rFonts w:ascii="Times New Roman" w:hAnsi="Times New Roman" w:cs="Times New Roman"/>
          <w:b/>
          <w:bCs/>
          <w:color w:val="FF0000"/>
          <w:sz w:val="28"/>
          <w:szCs w:val="28"/>
        </w:rPr>
        <w:t>NOMBRE APELLIDO 1 APELLIDO2</w:t>
      </w:r>
      <w:r w:rsidRPr="009376AC">
        <w:rPr>
          <w:rFonts w:ascii="Times New Roman" w:hAnsi="Times New Roman" w:cs="Times New Roman"/>
          <w:sz w:val="28"/>
          <w:szCs w:val="28"/>
        </w:rPr>
        <w:t xml:space="preserve">, mayor de edad, nacionalidad Española, con D.N.I nº </w:t>
      </w:r>
      <w:r w:rsidR="00D30988">
        <w:rPr>
          <w:rFonts w:ascii="Times New Roman" w:hAnsi="Times New Roman" w:cs="Times New Roman"/>
          <w:sz w:val="28"/>
          <w:szCs w:val="28"/>
        </w:rPr>
        <w:t>XX-XXX-XXX-Y</w:t>
      </w:r>
      <w:r w:rsidRPr="009376AC">
        <w:rPr>
          <w:rFonts w:ascii="Times New Roman" w:hAnsi="Times New Roman" w:cs="Times New Roman"/>
          <w:sz w:val="28"/>
          <w:szCs w:val="28"/>
        </w:rPr>
        <w:t>, y con domicilio a efecto de notificaciones en C</w:t>
      </w:r>
      <w:r w:rsidR="00B8519B">
        <w:rPr>
          <w:rFonts w:ascii="Times New Roman" w:hAnsi="Times New Roman" w:cs="Times New Roman"/>
          <w:sz w:val="28"/>
          <w:szCs w:val="28"/>
        </w:rPr>
        <w:t>\</w:t>
      </w:r>
      <w:r w:rsidRPr="009376AC">
        <w:rPr>
          <w:rFonts w:ascii="Times New Roman" w:hAnsi="Times New Roman" w:cs="Times New Roman"/>
          <w:sz w:val="28"/>
          <w:szCs w:val="28"/>
        </w:rPr>
        <w:t xml:space="preserve"> </w:t>
      </w:r>
      <w:r w:rsidR="00D30988" w:rsidRPr="00DD1541">
        <w:rPr>
          <w:rFonts w:ascii="Times New Roman" w:hAnsi="Times New Roman" w:cs="Times New Roman"/>
          <w:b/>
          <w:bCs/>
          <w:color w:val="FF0000"/>
          <w:sz w:val="28"/>
          <w:szCs w:val="28"/>
        </w:rPr>
        <w:t>TU DOMICILIO DONDE QUIERAS QUE NOTIFIQUEN</w:t>
      </w:r>
      <w:r w:rsidRPr="009376AC">
        <w:rPr>
          <w:rFonts w:ascii="Times New Roman" w:hAnsi="Times New Roman" w:cs="Times New Roman"/>
          <w:sz w:val="28"/>
          <w:szCs w:val="28"/>
        </w:rPr>
        <w:t xml:space="preserve"> de la Localidad de </w:t>
      </w:r>
      <w:r w:rsidR="00D30988" w:rsidRPr="00DD1541">
        <w:rPr>
          <w:rFonts w:ascii="Times New Roman" w:hAnsi="Times New Roman" w:cs="Times New Roman"/>
          <w:b/>
          <w:bCs/>
          <w:color w:val="FF0000"/>
          <w:sz w:val="28"/>
          <w:szCs w:val="28"/>
        </w:rPr>
        <w:t>CIUDAD/MUNICIPIO</w:t>
      </w:r>
      <w:r w:rsidRPr="009376AC">
        <w:rPr>
          <w:rFonts w:ascii="Times New Roman" w:hAnsi="Times New Roman" w:cs="Times New Roman"/>
          <w:sz w:val="28"/>
          <w:szCs w:val="28"/>
        </w:rPr>
        <w:t xml:space="preserve"> (</w:t>
      </w:r>
      <w:r w:rsidR="00D30988">
        <w:rPr>
          <w:rFonts w:ascii="Times New Roman" w:hAnsi="Times New Roman" w:cs="Times New Roman"/>
          <w:sz w:val="28"/>
          <w:szCs w:val="28"/>
        </w:rPr>
        <w:t>PROVINCIA</w:t>
      </w:r>
      <w:r w:rsidRPr="009376AC">
        <w:rPr>
          <w:rFonts w:ascii="Times New Roman" w:hAnsi="Times New Roman" w:cs="Times New Roman"/>
          <w:sz w:val="28"/>
          <w:szCs w:val="28"/>
        </w:rPr>
        <w:t xml:space="preserve">), Cód. Postal: </w:t>
      </w:r>
      <w:r w:rsidR="00D30988" w:rsidRPr="00DD1541">
        <w:rPr>
          <w:rFonts w:ascii="Times New Roman" w:hAnsi="Times New Roman" w:cs="Times New Roman"/>
          <w:b/>
          <w:bCs/>
          <w:color w:val="FF0000"/>
          <w:sz w:val="28"/>
          <w:szCs w:val="28"/>
        </w:rPr>
        <w:t>XX.XXX</w:t>
      </w:r>
      <w:r w:rsidRPr="009376AC">
        <w:rPr>
          <w:rFonts w:ascii="Times New Roman" w:hAnsi="Times New Roman" w:cs="Times New Roman"/>
          <w:sz w:val="28"/>
          <w:szCs w:val="28"/>
        </w:rPr>
        <w:t>, comparece</w:t>
      </w:r>
      <w:r w:rsidR="00B8519B">
        <w:rPr>
          <w:rFonts w:ascii="Times New Roman" w:hAnsi="Times New Roman" w:cs="Times New Roman"/>
          <w:sz w:val="28"/>
          <w:szCs w:val="28"/>
        </w:rPr>
        <w:t xml:space="preserve"> en tiempo y plazo otorgados </w:t>
      </w:r>
      <w:r w:rsidRPr="009376AC">
        <w:rPr>
          <w:rFonts w:ascii="Times New Roman" w:hAnsi="Times New Roman" w:cs="Times New Roman"/>
          <w:sz w:val="28"/>
          <w:szCs w:val="28"/>
        </w:rPr>
        <w:t xml:space="preserve">ante </w:t>
      </w:r>
      <w:r w:rsidRPr="00B8519B">
        <w:rPr>
          <w:rFonts w:ascii="Times New Roman" w:hAnsi="Times New Roman" w:cs="Times New Roman"/>
          <w:b/>
          <w:bCs/>
          <w:sz w:val="28"/>
          <w:szCs w:val="28"/>
        </w:rPr>
        <w:t>la Intervención Central de Armas y Explosivos</w:t>
      </w:r>
      <w:r w:rsidRPr="009376AC">
        <w:rPr>
          <w:rFonts w:ascii="Times New Roman" w:hAnsi="Times New Roman" w:cs="Times New Roman"/>
          <w:sz w:val="28"/>
          <w:szCs w:val="28"/>
        </w:rPr>
        <w:t xml:space="preserve">, dentro de la Jefatura de Armas, Explosivos y Seguridad, de la Dirección General de la Guardia Civil, dentro del Ministerio del Interior, al amparo del </w:t>
      </w:r>
      <w:r w:rsidR="009376AC" w:rsidRPr="009376AC">
        <w:rPr>
          <w:rFonts w:ascii="Times New Roman" w:hAnsi="Times New Roman" w:cs="Times New Roman"/>
          <w:sz w:val="28"/>
          <w:szCs w:val="28"/>
        </w:rPr>
        <w:t xml:space="preserve">art.23.1 de la Constitución Española, del </w:t>
      </w:r>
      <w:r w:rsidRPr="009376AC">
        <w:rPr>
          <w:rFonts w:ascii="Times New Roman" w:hAnsi="Times New Roman" w:cs="Times New Roman"/>
          <w:sz w:val="28"/>
          <w:szCs w:val="28"/>
        </w:rPr>
        <w:t xml:space="preserve">art </w:t>
      </w:r>
      <w:r w:rsidR="009376AC" w:rsidRPr="009376AC">
        <w:rPr>
          <w:rFonts w:ascii="Times New Roman" w:hAnsi="Times New Roman" w:cs="Times New Roman"/>
          <w:sz w:val="28"/>
          <w:szCs w:val="28"/>
        </w:rPr>
        <w:t xml:space="preserve">133 de la Ley 39/2015, de 1 de octubre, del Procedimiento Administrativo Común de las Administraciones Públicas, y del art. 26 de la Ley 50/1997, de 27 de noviembre, del Gobierno, en relación a la Consulta Pública sobre el PROYECTO DE REAL DECRETO POR EL QUE SE MODIFICA EL REGLAMENTO DE ARMAS, a fin de presentar </w:t>
      </w:r>
      <w:r w:rsidR="009376AC" w:rsidRPr="00B8519B">
        <w:rPr>
          <w:rFonts w:ascii="Times New Roman" w:hAnsi="Times New Roman" w:cs="Times New Roman"/>
          <w:b/>
          <w:bCs/>
          <w:sz w:val="28"/>
          <w:szCs w:val="28"/>
        </w:rPr>
        <w:t>ALEGACIONES</w:t>
      </w:r>
      <w:r w:rsidR="009376AC" w:rsidRPr="009376AC">
        <w:rPr>
          <w:rFonts w:ascii="Times New Roman" w:hAnsi="Times New Roman" w:cs="Times New Roman"/>
          <w:sz w:val="28"/>
          <w:szCs w:val="28"/>
        </w:rPr>
        <w:t xml:space="preserve"> ante el citado proyecto.</w:t>
      </w:r>
    </w:p>
    <w:p w14:paraId="2C079CEA" w14:textId="5E6A9CED" w:rsidR="00B8519B" w:rsidRDefault="00524433" w:rsidP="00B8519B">
      <w:pPr>
        <w:jc w:val="both"/>
        <w:rPr>
          <w:rFonts w:ascii="Times New Roman" w:hAnsi="Times New Roman" w:cs="Times New Roman"/>
          <w:sz w:val="28"/>
          <w:szCs w:val="28"/>
        </w:rPr>
      </w:pPr>
      <w:r>
        <w:rPr>
          <w:rFonts w:ascii="Times New Roman" w:hAnsi="Times New Roman" w:cs="Times New Roman"/>
          <w:sz w:val="28"/>
          <w:szCs w:val="28"/>
        </w:rPr>
        <w:t>PRIMERA. -</w:t>
      </w:r>
      <w:r w:rsidR="002C49FD">
        <w:rPr>
          <w:rFonts w:ascii="Times New Roman" w:hAnsi="Times New Roman" w:cs="Times New Roman"/>
          <w:sz w:val="28"/>
          <w:szCs w:val="28"/>
        </w:rPr>
        <w:t xml:space="preserve"> </w:t>
      </w:r>
      <w:r w:rsidR="00DD0BD1">
        <w:rPr>
          <w:rFonts w:ascii="Times New Roman" w:hAnsi="Times New Roman" w:cs="Times New Roman"/>
          <w:sz w:val="28"/>
          <w:szCs w:val="28"/>
        </w:rPr>
        <w:t>Armas artísticas y “Flobert”</w:t>
      </w:r>
    </w:p>
    <w:p w14:paraId="66480F74" w14:textId="7F0F8FC4" w:rsidR="00DD0BD1" w:rsidRDefault="00DD0BD1" w:rsidP="00E63B9C">
      <w:pPr>
        <w:shd w:val="clear" w:color="auto" w:fill="D4D4D4"/>
        <w:jc w:val="both"/>
        <w:rPr>
          <w:rFonts w:ascii="Times New Roman" w:hAnsi="Times New Roman" w:cs="Times New Roman"/>
          <w:sz w:val="28"/>
          <w:szCs w:val="28"/>
        </w:rPr>
      </w:pPr>
      <w:r>
        <w:rPr>
          <w:rFonts w:ascii="Times New Roman" w:hAnsi="Times New Roman" w:cs="Times New Roman"/>
          <w:sz w:val="28"/>
          <w:szCs w:val="28"/>
        </w:rPr>
        <w:t>“</w:t>
      </w:r>
      <w:r w:rsidRPr="00DD0BD1">
        <w:rPr>
          <w:rFonts w:ascii="Times New Roman" w:hAnsi="Times New Roman" w:cs="Times New Roman"/>
          <w:i/>
          <w:iCs/>
          <w:sz w:val="28"/>
          <w:szCs w:val="28"/>
        </w:rPr>
        <w:t>La Comisión Europea ha emplazado al Reino de España para que adecue el Reglamento de Armas, aprobado por Real Decreto 137/1993, de 29 de enero,  a lo establecido en la Directiva (UE) 2021/555 del Parlamento Europeo y del Consejo (versión codificada como consecuencia de las varias modificaciones sufridas por la Directiva 91/477/CEE del Consejo) ya que considera que, por lo que respecta al marcado de las armas artísticas y de sistema “Flobert”, la normativa española se ha excedido de lo dispuesto en la Directiva, eximiendo del marcado a tales armas cuando así no está instaurado en la norma comunitaria</w:t>
      </w:r>
      <w:r w:rsidRPr="00DD0BD1">
        <w:rPr>
          <w:rFonts w:ascii="Times New Roman" w:hAnsi="Times New Roman" w:cs="Times New Roman"/>
          <w:sz w:val="28"/>
          <w:szCs w:val="28"/>
        </w:rPr>
        <w:t>.</w:t>
      </w:r>
      <w:r>
        <w:rPr>
          <w:rFonts w:ascii="Times New Roman" w:hAnsi="Times New Roman" w:cs="Times New Roman"/>
          <w:sz w:val="28"/>
          <w:szCs w:val="28"/>
        </w:rPr>
        <w:t>”</w:t>
      </w:r>
    </w:p>
    <w:p w14:paraId="3148F56D" w14:textId="3C003138" w:rsidR="00DD0BD1" w:rsidRDefault="00DD0BD1" w:rsidP="00B8519B">
      <w:pPr>
        <w:jc w:val="both"/>
        <w:rPr>
          <w:rFonts w:ascii="Times New Roman" w:hAnsi="Times New Roman" w:cs="Times New Roman"/>
          <w:sz w:val="28"/>
          <w:szCs w:val="28"/>
        </w:rPr>
      </w:pPr>
      <w:r>
        <w:rPr>
          <w:rFonts w:ascii="Times New Roman" w:hAnsi="Times New Roman" w:cs="Times New Roman"/>
          <w:sz w:val="28"/>
          <w:szCs w:val="28"/>
        </w:rPr>
        <w:t>La Directiva (UE) 2021/555, de 29 de Enero y del Consejo</w:t>
      </w:r>
      <w:r w:rsidR="00AC21A0">
        <w:rPr>
          <w:rFonts w:ascii="Times New Roman" w:hAnsi="Times New Roman" w:cs="Times New Roman"/>
          <w:sz w:val="28"/>
          <w:szCs w:val="28"/>
        </w:rPr>
        <w:t xml:space="preserve"> </w:t>
      </w:r>
      <w:r w:rsidR="00AC21A0" w:rsidRPr="00AC21A0">
        <w:rPr>
          <w:rFonts w:ascii="Times New Roman" w:hAnsi="Times New Roman" w:cs="Times New Roman"/>
          <w:sz w:val="28"/>
          <w:szCs w:val="28"/>
        </w:rPr>
        <w:t>de 24 de marzo de 2021 sobre el control de la adquisición y tenencia de armas</w:t>
      </w:r>
      <w:r>
        <w:rPr>
          <w:rFonts w:ascii="Times New Roman" w:hAnsi="Times New Roman" w:cs="Times New Roman"/>
          <w:sz w:val="28"/>
          <w:szCs w:val="28"/>
        </w:rPr>
        <w:t xml:space="preserve">, junto con sus anteriores versiones, derogadas por el art. 26 de la misma, y la única válida y vigente conforme a derecho tras su publicación en el Diario Oficial de la Unión Europea </w:t>
      </w:r>
      <w:r w:rsidRPr="00DD0BD1">
        <w:rPr>
          <w:rFonts w:ascii="Times New Roman" w:hAnsi="Times New Roman" w:cs="Times New Roman"/>
          <w:sz w:val="28"/>
          <w:szCs w:val="28"/>
        </w:rPr>
        <w:t>núm. 115, de 6 de abril de 2021</w:t>
      </w:r>
      <w:r>
        <w:rPr>
          <w:rFonts w:ascii="Times New Roman" w:hAnsi="Times New Roman" w:cs="Times New Roman"/>
          <w:sz w:val="28"/>
          <w:szCs w:val="28"/>
        </w:rPr>
        <w:t>, no aparece referencia alguna respecto de las armas artísticas, ni siquiera se mencionan.</w:t>
      </w:r>
    </w:p>
    <w:p w14:paraId="5EBB82E0" w14:textId="3AC2C991" w:rsidR="00D8050E" w:rsidRDefault="00D8050E" w:rsidP="00B8519B">
      <w:pPr>
        <w:jc w:val="both"/>
        <w:rPr>
          <w:rFonts w:ascii="Times New Roman" w:hAnsi="Times New Roman" w:cs="Times New Roman"/>
          <w:sz w:val="28"/>
          <w:szCs w:val="28"/>
        </w:rPr>
      </w:pPr>
      <w:r>
        <w:rPr>
          <w:rFonts w:ascii="Times New Roman" w:hAnsi="Times New Roman" w:cs="Times New Roman"/>
          <w:sz w:val="28"/>
          <w:szCs w:val="28"/>
        </w:rPr>
        <w:t xml:space="preserve">Por lo tanto, no se cumple ninguno de los requisitos establecidos por el art. 26 de la </w:t>
      </w:r>
      <w:r w:rsidRPr="00D8050E">
        <w:rPr>
          <w:rFonts w:ascii="Times New Roman" w:hAnsi="Times New Roman" w:cs="Times New Roman"/>
          <w:sz w:val="28"/>
          <w:szCs w:val="28"/>
        </w:rPr>
        <w:t>Ley 50/1997, de 27 de noviembre, del Gobierno</w:t>
      </w:r>
      <w:r>
        <w:rPr>
          <w:rFonts w:ascii="Times New Roman" w:hAnsi="Times New Roman" w:cs="Times New Roman"/>
          <w:sz w:val="28"/>
          <w:szCs w:val="28"/>
        </w:rPr>
        <w:t xml:space="preserve">, ni del art. 133 de la </w:t>
      </w:r>
      <w:r w:rsidRPr="00D8050E">
        <w:rPr>
          <w:rFonts w:ascii="Times New Roman" w:hAnsi="Times New Roman" w:cs="Times New Roman"/>
          <w:sz w:val="28"/>
          <w:szCs w:val="28"/>
        </w:rPr>
        <w:t xml:space="preserve">Ley 39/2015, de 1 de octubre, del Procedimiento Administrativo Común </w:t>
      </w:r>
      <w:r w:rsidRPr="00D8050E">
        <w:rPr>
          <w:rFonts w:ascii="Times New Roman" w:hAnsi="Times New Roman" w:cs="Times New Roman"/>
          <w:sz w:val="28"/>
          <w:szCs w:val="28"/>
        </w:rPr>
        <w:lastRenderedPageBreak/>
        <w:t>de las Administraciones Públicas.</w:t>
      </w:r>
      <w:r>
        <w:rPr>
          <w:rFonts w:ascii="Times New Roman" w:hAnsi="Times New Roman" w:cs="Times New Roman"/>
          <w:sz w:val="28"/>
          <w:szCs w:val="28"/>
        </w:rPr>
        <w:t xml:space="preserve"> para el Procedimiento de Elaboración de una norma de potestad reglamentaria como es el caso:</w:t>
      </w:r>
    </w:p>
    <w:p w14:paraId="66E792F9" w14:textId="77777777" w:rsidR="00D8050E" w:rsidRPr="00D8050E" w:rsidRDefault="00D8050E" w:rsidP="00D8050E">
      <w:pPr>
        <w:spacing w:after="0" w:line="276" w:lineRule="auto"/>
        <w:jc w:val="both"/>
        <w:rPr>
          <w:rFonts w:ascii="Times New Roman" w:hAnsi="Times New Roman" w:cs="Times New Roman"/>
          <w:i/>
          <w:iCs/>
          <w:sz w:val="28"/>
          <w:szCs w:val="28"/>
        </w:rPr>
      </w:pPr>
      <w:r w:rsidRPr="00D8050E">
        <w:rPr>
          <w:rFonts w:ascii="Times New Roman" w:hAnsi="Times New Roman" w:cs="Times New Roman"/>
          <w:i/>
          <w:iCs/>
          <w:sz w:val="28"/>
          <w:szCs w:val="28"/>
        </w:rPr>
        <w:t>a) Los problemas que se pretenden solucionar con la nueva norma.</w:t>
      </w:r>
    </w:p>
    <w:p w14:paraId="5CFE43E1" w14:textId="77777777" w:rsidR="00D8050E" w:rsidRPr="00D8050E" w:rsidRDefault="00D8050E" w:rsidP="00D8050E">
      <w:pPr>
        <w:spacing w:after="0" w:line="276" w:lineRule="auto"/>
        <w:jc w:val="both"/>
        <w:rPr>
          <w:rFonts w:ascii="Times New Roman" w:hAnsi="Times New Roman" w:cs="Times New Roman"/>
          <w:i/>
          <w:iCs/>
          <w:sz w:val="28"/>
          <w:szCs w:val="28"/>
        </w:rPr>
      </w:pPr>
    </w:p>
    <w:p w14:paraId="217EFE62" w14:textId="77777777" w:rsidR="00D8050E" w:rsidRPr="00D8050E" w:rsidRDefault="00D8050E" w:rsidP="00D8050E">
      <w:pPr>
        <w:spacing w:after="0" w:line="276" w:lineRule="auto"/>
        <w:jc w:val="both"/>
        <w:rPr>
          <w:rFonts w:ascii="Times New Roman" w:hAnsi="Times New Roman" w:cs="Times New Roman"/>
          <w:i/>
          <w:iCs/>
          <w:sz w:val="28"/>
          <w:szCs w:val="28"/>
        </w:rPr>
      </w:pPr>
      <w:r w:rsidRPr="00D8050E">
        <w:rPr>
          <w:rFonts w:ascii="Times New Roman" w:hAnsi="Times New Roman" w:cs="Times New Roman"/>
          <w:i/>
          <w:iCs/>
          <w:sz w:val="28"/>
          <w:szCs w:val="28"/>
        </w:rPr>
        <w:t>b) La necesidad y oportunidad de su aprobación.</w:t>
      </w:r>
    </w:p>
    <w:p w14:paraId="1FF1C1CE" w14:textId="77777777" w:rsidR="00D8050E" w:rsidRPr="00D8050E" w:rsidRDefault="00D8050E" w:rsidP="00D8050E">
      <w:pPr>
        <w:spacing w:after="0" w:line="276" w:lineRule="auto"/>
        <w:jc w:val="both"/>
        <w:rPr>
          <w:rFonts w:ascii="Times New Roman" w:hAnsi="Times New Roman" w:cs="Times New Roman"/>
          <w:i/>
          <w:iCs/>
          <w:sz w:val="28"/>
          <w:szCs w:val="28"/>
        </w:rPr>
      </w:pPr>
    </w:p>
    <w:p w14:paraId="18A4CB43" w14:textId="77777777" w:rsidR="00D8050E" w:rsidRPr="00D8050E" w:rsidRDefault="00D8050E" w:rsidP="00D8050E">
      <w:pPr>
        <w:spacing w:after="0" w:line="276" w:lineRule="auto"/>
        <w:jc w:val="both"/>
        <w:rPr>
          <w:rFonts w:ascii="Times New Roman" w:hAnsi="Times New Roman" w:cs="Times New Roman"/>
          <w:i/>
          <w:iCs/>
          <w:sz w:val="28"/>
          <w:szCs w:val="28"/>
        </w:rPr>
      </w:pPr>
      <w:r w:rsidRPr="00D8050E">
        <w:rPr>
          <w:rFonts w:ascii="Times New Roman" w:hAnsi="Times New Roman" w:cs="Times New Roman"/>
          <w:i/>
          <w:iCs/>
          <w:sz w:val="28"/>
          <w:szCs w:val="28"/>
        </w:rPr>
        <w:t>c) Los objetivos de la norma.</w:t>
      </w:r>
    </w:p>
    <w:p w14:paraId="05169180" w14:textId="77777777" w:rsidR="00D8050E" w:rsidRPr="00D8050E" w:rsidRDefault="00D8050E" w:rsidP="00D8050E">
      <w:pPr>
        <w:spacing w:after="0" w:line="276" w:lineRule="auto"/>
        <w:jc w:val="both"/>
        <w:rPr>
          <w:rFonts w:ascii="Times New Roman" w:hAnsi="Times New Roman" w:cs="Times New Roman"/>
          <w:i/>
          <w:iCs/>
          <w:sz w:val="28"/>
          <w:szCs w:val="28"/>
        </w:rPr>
      </w:pPr>
    </w:p>
    <w:p w14:paraId="6D62E163" w14:textId="4DD88BE7" w:rsidR="00D8050E" w:rsidRPr="00D8050E" w:rsidRDefault="00D8050E" w:rsidP="00D8050E">
      <w:pPr>
        <w:spacing w:after="0" w:line="276" w:lineRule="auto"/>
        <w:jc w:val="both"/>
        <w:rPr>
          <w:rFonts w:ascii="Times New Roman" w:hAnsi="Times New Roman" w:cs="Times New Roman"/>
          <w:i/>
          <w:iCs/>
          <w:sz w:val="28"/>
          <w:szCs w:val="28"/>
        </w:rPr>
      </w:pPr>
      <w:r w:rsidRPr="00D8050E">
        <w:rPr>
          <w:rFonts w:ascii="Times New Roman" w:hAnsi="Times New Roman" w:cs="Times New Roman"/>
          <w:i/>
          <w:iCs/>
          <w:sz w:val="28"/>
          <w:szCs w:val="28"/>
        </w:rPr>
        <w:t>d) Las posibles soluciones alternativas regulatorias y no regulatorias.</w:t>
      </w:r>
    </w:p>
    <w:p w14:paraId="5EED5EDE" w14:textId="77777777" w:rsidR="002C49FD" w:rsidRDefault="002C49FD" w:rsidP="00B8519B">
      <w:pPr>
        <w:jc w:val="both"/>
        <w:rPr>
          <w:rFonts w:ascii="Times New Roman" w:hAnsi="Times New Roman" w:cs="Times New Roman"/>
          <w:sz w:val="28"/>
          <w:szCs w:val="28"/>
        </w:rPr>
      </w:pPr>
    </w:p>
    <w:p w14:paraId="7F3E010A" w14:textId="16C9DDAF" w:rsidR="001863AE" w:rsidRDefault="00AC21A0" w:rsidP="00B8519B">
      <w:pPr>
        <w:jc w:val="both"/>
        <w:rPr>
          <w:rFonts w:ascii="Times New Roman" w:hAnsi="Times New Roman" w:cs="Times New Roman"/>
          <w:sz w:val="28"/>
          <w:szCs w:val="28"/>
        </w:rPr>
      </w:pPr>
      <w:r>
        <w:rPr>
          <w:rFonts w:ascii="Times New Roman" w:hAnsi="Times New Roman" w:cs="Times New Roman"/>
          <w:sz w:val="28"/>
          <w:szCs w:val="28"/>
        </w:rPr>
        <w:t>En cuanto a las armas denominadas “Flobert</w:t>
      </w:r>
      <w:r w:rsidR="00F96A86">
        <w:rPr>
          <w:rFonts w:ascii="Times New Roman" w:hAnsi="Times New Roman" w:cs="Times New Roman"/>
          <w:sz w:val="28"/>
          <w:szCs w:val="28"/>
        </w:rPr>
        <w:t>”,</w:t>
      </w:r>
      <w:r>
        <w:rPr>
          <w:rFonts w:ascii="Times New Roman" w:hAnsi="Times New Roman" w:cs="Times New Roman"/>
          <w:sz w:val="28"/>
          <w:szCs w:val="28"/>
        </w:rPr>
        <w:t xml:space="preserve"> de nuevo, tampoco aparecen siquiera mencionadas en la </w:t>
      </w:r>
      <w:r w:rsidRPr="00AC21A0">
        <w:rPr>
          <w:rFonts w:ascii="Times New Roman" w:hAnsi="Times New Roman" w:cs="Times New Roman"/>
          <w:sz w:val="28"/>
          <w:szCs w:val="28"/>
        </w:rPr>
        <w:t>Directiva (UE) 2021/55</w:t>
      </w:r>
      <w:r>
        <w:rPr>
          <w:rFonts w:ascii="Times New Roman" w:hAnsi="Times New Roman" w:cs="Times New Roman"/>
          <w:sz w:val="28"/>
          <w:szCs w:val="28"/>
        </w:rPr>
        <w:t>,</w:t>
      </w:r>
      <w:r w:rsidR="001863AE">
        <w:rPr>
          <w:rFonts w:ascii="Times New Roman" w:hAnsi="Times New Roman" w:cs="Times New Roman"/>
          <w:sz w:val="28"/>
          <w:szCs w:val="28"/>
        </w:rPr>
        <w:t xml:space="preserve"> sin embargo, teniendo en cuenta la historia de dicha denominación, procedente del prestigiosísimo portal de Internet </w:t>
      </w:r>
      <w:hyperlink r:id="rId7" w:history="1">
        <w:r w:rsidR="001863AE" w:rsidRPr="00FC5FF1">
          <w:rPr>
            <w:rStyle w:val="Hipervnculo"/>
            <w:rFonts w:ascii="Times New Roman" w:hAnsi="Times New Roman" w:cs="Times New Roman"/>
            <w:sz w:val="28"/>
            <w:szCs w:val="28"/>
          </w:rPr>
          <w:t>www.munición.org</w:t>
        </w:r>
      </w:hyperlink>
      <w:r w:rsidR="001863AE">
        <w:rPr>
          <w:rFonts w:ascii="Times New Roman" w:hAnsi="Times New Roman" w:cs="Times New Roman"/>
          <w:sz w:val="28"/>
          <w:szCs w:val="28"/>
        </w:rPr>
        <w:t>, y que puede ser consultado públicamente</w:t>
      </w:r>
      <w:r w:rsidR="001863AE">
        <w:rPr>
          <w:rStyle w:val="Refdenotaalpie"/>
          <w:rFonts w:ascii="Times New Roman" w:hAnsi="Times New Roman" w:cs="Times New Roman"/>
          <w:sz w:val="28"/>
          <w:szCs w:val="28"/>
        </w:rPr>
        <w:footnoteReference w:id="1"/>
      </w:r>
      <w:r w:rsidR="001863AE">
        <w:rPr>
          <w:rFonts w:ascii="Times New Roman" w:hAnsi="Times New Roman" w:cs="Times New Roman"/>
          <w:sz w:val="28"/>
          <w:szCs w:val="28"/>
        </w:rPr>
        <w:t xml:space="preserve"> a través de su portal electrónico</w:t>
      </w:r>
    </w:p>
    <w:p w14:paraId="5F53E7E4" w14:textId="2ADEDE29" w:rsidR="001863AE" w:rsidRPr="001863AE" w:rsidRDefault="001863AE" w:rsidP="001863AE">
      <w:pPr>
        <w:jc w:val="both"/>
        <w:rPr>
          <w:rFonts w:ascii="Times New Roman" w:hAnsi="Times New Roman" w:cs="Times New Roman"/>
          <w:sz w:val="28"/>
          <w:szCs w:val="28"/>
        </w:rPr>
      </w:pPr>
      <w:r>
        <w:rPr>
          <w:rFonts w:ascii="Times New Roman" w:hAnsi="Times New Roman" w:cs="Times New Roman"/>
          <w:sz w:val="28"/>
          <w:szCs w:val="28"/>
        </w:rPr>
        <w:t>“</w:t>
      </w:r>
      <w:r w:rsidRPr="001863AE">
        <w:rPr>
          <w:rFonts w:ascii="Times New Roman" w:hAnsi="Times New Roman" w:cs="Times New Roman"/>
          <w:sz w:val="28"/>
          <w:szCs w:val="28"/>
        </w:rPr>
        <w:t xml:space="preserve">El sistema Flobert fue inventado por Louis-Nicolás Flobert en 1845, siendo el primer cartucho de fuego anular de la historia, precursores junto con el sistema Lefaucheux de toda la cartuchería metálica. No poseen pólvora, impulsándose la bala sólo por la deflagración del fulminante anular. Las balas suelen ser esféricas o </w:t>
      </w:r>
      <w:r w:rsidR="00DD1541" w:rsidRPr="001863AE">
        <w:rPr>
          <w:rFonts w:ascii="Times New Roman" w:hAnsi="Times New Roman" w:cs="Times New Roman"/>
          <w:sz w:val="28"/>
          <w:szCs w:val="28"/>
        </w:rPr>
        <w:t>cilindro cónicas</w:t>
      </w:r>
      <w:r w:rsidRPr="001863AE">
        <w:rPr>
          <w:rFonts w:ascii="Times New Roman" w:hAnsi="Times New Roman" w:cs="Times New Roman"/>
          <w:sz w:val="28"/>
          <w:szCs w:val="28"/>
        </w:rPr>
        <w:t xml:space="preserve"> y de plomo sin envuelta. Este cartucho fue diseñado para el tiro de salón, ya que su reducida potencia permite el uso en interiores.</w:t>
      </w:r>
    </w:p>
    <w:p w14:paraId="30F3FF67" w14:textId="55D14A3E" w:rsidR="001863AE" w:rsidRPr="001863AE" w:rsidRDefault="001863AE" w:rsidP="001863AE">
      <w:pPr>
        <w:jc w:val="both"/>
        <w:rPr>
          <w:rFonts w:ascii="Times New Roman" w:hAnsi="Times New Roman" w:cs="Times New Roman"/>
          <w:sz w:val="28"/>
          <w:szCs w:val="28"/>
        </w:rPr>
      </w:pPr>
      <w:r w:rsidRPr="001863AE">
        <w:rPr>
          <w:rFonts w:ascii="Times New Roman" w:hAnsi="Times New Roman" w:cs="Times New Roman"/>
          <w:sz w:val="28"/>
          <w:szCs w:val="28"/>
        </w:rPr>
        <w:t xml:space="preserve">Hay una gran variedad de cartuchos del .22/6mm Flobert, con longitudes de vaina que van desde los 4,4 mm </w:t>
      </w:r>
      <w:r w:rsidR="00524433" w:rsidRPr="001863AE">
        <w:rPr>
          <w:rFonts w:ascii="Times New Roman" w:hAnsi="Times New Roman" w:cs="Times New Roman"/>
          <w:sz w:val="28"/>
          <w:szCs w:val="28"/>
        </w:rPr>
        <w:t>a los</w:t>
      </w:r>
      <w:r w:rsidRPr="001863AE">
        <w:rPr>
          <w:rFonts w:ascii="Times New Roman" w:hAnsi="Times New Roman" w:cs="Times New Roman"/>
          <w:sz w:val="28"/>
          <w:szCs w:val="28"/>
        </w:rPr>
        <w:t xml:space="preserve"> 7,7 mm. El pionero, creado en 1845, es el 6 mm Flobert original (5,6x7mm) y bala redonda. Hay una variante de este con bala puntiaguda (5,6x7mm) y otra con bala puntiaguda y vaina más corta, 5,6×6,5mm.</w:t>
      </w:r>
    </w:p>
    <w:p w14:paraId="1B99E9A3" w14:textId="77777777" w:rsidR="001863AE" w:rsidRPr="001863AE" w:rsidRDefault="001863AE" w:rsidP="001863AE">
      <w:pPr>
        <w:jc w:val="both"/>
        <w:rPr>
          <w:rFonts w:ascii="Times New Roman" w:hAnsi="Times New Roman" w:cs="Times New Roman"/>
          <w:sz w:val="28"/>
          <w:szCs w:val="28"/>
        </w:rPr>
      </w:pPr>
      <w:r w:rsidRPr="001863AE">
        <w:rPr>
          <w:rFonts w:ascii="Times New Roman" w:hAnsi="Times New Roman" w:cs="Times New Roman"/>
          <w:sz w:val="28"/>
          <w:szCs w:val="28"/>
        </w:rPr>
        <w:t xml:space="preserve">Como categoría aparte están los 6 mm de </w:t>
      </w:r>
      <w:proofErr w:type="spellStart"/>
      <w:r w:rsidRPr="001863AE">
        <w:rPr>
          <w:rFonts w:ascii="Times New Roman" w:hAnsi="Times New Roman" w:cs="Times New Roman"/>
          <w:sz w:val="28"/>
          <w:szCs w:val="28"/>
        </w:rPr>
        <w:t>Bosquettes</w:t>
      </w:r>
      <w:proofErr w:type="spellEnd"/>
      <w:r w:rsidRPr="001863AE">
        <w:rPr>
          <w:rFonts w:ascii="Times New Roman" w:hAnsi="Times New Roman" w:cs="Times New Roman"/>
          <w:sz w:val="28"/>
          <w:szCs w:val="28"/>
        </w:rPr>
        <w:t xml:space="preserve"> (5,85×7,5mm) con vaina compuesta de doble culote, de latón y cobre y la bala puntiaguda y el denominado 6 mm Nacional (5,85×7,7mm), </w:t>
      </w:r>
      <w:proofErr w:type="spellStart"/>
      <w:r w:rsidRPr="001863AE">
        <w:rPr>
          <w:rFonts w:ascii="Times New Roman" w:hAnsi="Times New Roman" w:cs="Times New Roman"/>
          <w:sz w:val="28"/>
          <w:szCs w:val="28"/>
        </w:rPr>
        <w:t>Bosquette</w:t>
      </w:r>
      <w:proofErr w:type="spellEnd"/>
      <w:r w:rsidRPr="001863AE">
        <w:rPr>
          <w:rFonts w:ascii="Times New Roman" w:hAnsi="Times New Roman" w:cs="Times New Roman"/>
          <w:sz w:val="28"/>
          <w:szCs w:val="28"/>
        </w:rPr>
        <w:t xml:space="preserve"> de precisión.</w:t>
      </w:r>
    </w:p>
    <w:p w14:paraId="7AA4D62C" w14:textId="58A6561C" w:rsidR="001863AE" w:rsidRDefault="001863AE" w:rsidP="001863AE">
      <w:pPr>
        <w:jc w:val="both"/>
        <w:rPr>
          <w:rFonts w:ascii="Times New Roman" w:hAnsi="Times New Roman" w:cs="Times New Roman"/>
          <w:sz w:val="28"/>
          <w:szCs w:val="28"/>
        </w:rPr>
      </w:pPr>
      <w:r w:rsidRPr="001863AE">
        <w:rPr>
          <w:rFonts w:ascii="Times New Roman" w:hAnsi="Times New Roman" w:cs="Times New Roman"/>
          <w:sz w:val="28"/>
          <w:szCs w:val="28"/>
        </w:rPr>
        <w:t xml:space="preserve">Con similar tamaño, pero con una pestaña de menor espesor que permite su uso en armas del calibre .22 están las versiones americanas del cartucho, el .22 BB </w:t>
      </w:r>
      <w:proofErr w:type="spellStart"/>
      <w:r w:rsidRPr="001863AE">
        <w:rPr>
          <w:rFonts w:ascii="Times New Roman" w:hAnsi="Times New Roman" w:cs="Times New Roman"/>
          <w:sz w:val="28"/>
          <w:szCs w:val="28"/>
        </w:rPr>
        <w:t>Cap</w:t>
      </w:r>
      <w:proofErr w:type="spellEnd"/>
      <w:r w:rsidRPr="001863AE">
        <w:rPr>
          <w:rFonts w:ascii="Times New Roman" w:hAnsi="Times New Roman" w:cs="Times New Roman"/>
          <w:sz w:val="28"/>
          <w:szCs w:val="28"/>
        </w:rPr>
        <w:t xml:space="preserve"> de bala redondeada o apuntada y el .22 CB </w:t>
      </w:r>
      <w:proofErr w:type="spellStart"/>
      <w:r w:rsidRPr="001863AE">
        <w:rPr>
          <w:rFonts w:ascii="Times New Roman" w:hAnsi="Times New Roman" w:cs="Times New Roman"/>
          <w:sz w:val="28"/>
          <w:szCs w:val="28"/>
        </w:rPr>
        <w:t>Cap</w:t>
      </w:r>
      <w:proofErr w:type="spellEnd"/>
      <w:r w:rsidRPr="001863AE">
        <w:rPr>
          <w:rFonts w:ascii="Times New Roman" w:hAnsi="Times New Roman" w:cs="Times New Roman"/>
          <w:sz w:val="28"/>
          <w:szCs w:val="28"/>
        </w:rPr>
        <w:t xml:space="preserve"> de bala ojival. </w:t>
      </w:r>
      <w:r w:rsidR="00524433" w:rsidRPr="001863AE">
        <w:rPr>
          <w:rFonts w:ascii="Times New Roman" w:hAnsi="Times New Roman" w:cs="Times New Roman"/>
          <w:sz w:val="28"/>
          <w:szCs w:val="28"/>
        </w:rPr>
        <w:t>Incluimos</w:t>
      </w:r>
      <w:r w:rsidRPr="001863AE">
        <w:rPr>
          <w:rFonts w:ascii="Times New Roman" w:hAnsi="Times New Roman" w:cs="Times New Roman"/>
          <w:sz w:val="28"/>
          <w:szCs w:val="28"/>
        </w:rPr>
        <w:t xml:space="preserve"> las medidas del 6 mm Flobert original de 1845.</w:t>
      </w:r>
      <w:r>
        <w:rPr>
          <w:rFonts w:ascii="Times New Roman" w:hAnsi="Times New Roman" w:cs="Times New Roman"/>
          <w:sz w:val="28"/>
          <w:szCs w:val="28"/>
        </w:rPr>
        <w:t>”</w:t>
      </w:r>
    </w:p>
    <w:p w14:paraId="6D725EF2" w14:textId="0DF26D6D" w:rsidR="001863AE" w:rsidRDefault="001863AE" w:rsidP="001863AE">
      <w:pPr>
        <w:jc w:val="both"/>
        <w:rPr>
          <w:rFonts w:ascii="Times New Roman" w:hAnsi="Times New Roman" w:cs="Times New Roman"/>
          <w:sz w:val="28"/>
          <w:szCs w:val="28"/>
        </w:rPr>
      </w:pPr>
      <w:r>
        <w:rPr>
          <w:rFonts w:ascii="Times New Roman" w:hAnsi="Times New Roman" w:cs="Times New Roman"/>
          <w:sz w:val="28"/>
          <w:szCs w:val="28"/>
        </w:rPr>
        <w:lastRenderedPageBreak/>
        <w:t>Adicionalmente, en el Portal de Conocimiento universalmente conocido de Wikipedia</w:t>
      </w:r>
      <w:r>
        <w:rPr>
          <w:rStyle w:val="Refdenotaalpie"/>
          <w:rFonts w:ascii="Times New Roman" w:hAnsi="Times New Roman" w:cs="Times New Roman"/>
          <w:sz w:val="28"/>
          <w:szCs w:val="28"/>
        </w:rPr>
        <w:footnoteReference w:id="2"/>
      </w:r>
      <w:r>
        <w:rPr>
          <w:rFonts w:ascii="Times New Roman" w:hAnsi="Times New Roman" w:cs="Times New Roman"/>
          <w:sz w:val="28"/>
          <w:szCs w:val="28"/>
        </w:rPr>
        <w:t xml:space="preserve">, y de BARNES, FRANK C, en su libro </w:t>
      </w:r>
      <w:proofErr w:type="spellStart"/>
      <w:r w:rsidRPr="001863AE">
        <w:rPr>
          <w:rFonts w:ascii="Times New Roman" w:hAnsi="Times New Roman" w:cs="Times New Roman"/>
          <w:sz w:val="28"/>
          <w:szCs w:val="28"/>
        </w:rPr>
        <w:t>Cartridges</w:t>
      </w:r>
      <w:proofErr w:type="spellEnd"/>
      <w:r w:rsidRPr="001863AE">
        <w:rPr>
          <w:rFonts w:ascii="Times New Roman" w:hAnsi="Times New Roman" w:cs="Times New Roman"/>
          <w:sz w:val="28"/>
          <w:szCs w:val="28"/>
        </w:rPr>
        <w:t xml:space="preserve"> </w:t>
      </w:r>
      <w:proofErr w:type="spellStart"/>
      <w:r w:rsidRPr="001863AE">
        <w:rPr>
          <w:rFonts w:ascii="Times New Roman" w:hAnsi="Times New Roman" w:cs="Times New Roman"/>
          <w:sz w:val="28"/>
          <w:szCs w:val="28"/>
        </w:rPr>
        <w:t>of</w:t>
      </w:r>
      <w:proofErr w:type="spellEnd"/>
      <w:r w:rsidRPr="001863AE">
        <w:rPr>
          <w:rFonts w:ascii="Times New Roman" w:hAnsi="Times New Roman" w:cs="Times New Roman"/>
          <w:sz w:val="28"/>
          <w:szCs w:val="28"/>
        </w:rPr>
        <w:t xml:space="preserve"> </w:t>
      </w:r>
      <w:proofErr w:type="spellStart"/>
      <w:r w:rsidRPr="001863AE">
        <w:rPr>
          <w:rFonts w:ascii="Times New Roman" w:hAnsi="Times New Roman" w:cs="Times New Roman"/>
          <w:sz w:val="28"/>
          <w:szCs w:val="28"/>
        </w:rPr>
        <w:t>the</w:t>
      </w:r>
      <w:proofErr w:type="spellEnd"/>
      <w:r w:rsidRPr="001863AE">
        <w:rPr>
          <w:rFonts w:ascii="Times New Roman" w:hAnsi="Times New Roman" w:cs="Times New Roman"/>
          <w:sz w:val="28"/>
          <w:szCs w:val="28"/>
        </w:rPr>
        <w:t xml:space="preserve"> World (11th </w:t>
      </w:r>
      <w:proofErr w:type="spellStart"/>
      <w:r w:rsidRPr="001863AE">
        <w:rPr>
          <w:rFonts w:ascii="Times New Roman" w:hAnsi="Times New Roman" w:cs="Times New Roman"/>
          <w:sz w:val="28"/>
          <w:szCs w:val="28"/>
        </w:rPr>
        <w:t>Edition</w:t>
      </w:r>
      <w:proofErr w:type="spellEnd"/>
      <w:r w:rsidRPr="001863AE">
        <w:rPr>
          <w:rFonts w:ascii="Times New Roman" w:hAnsi="Times New Roman" w:cs="Times New Roman"/>
          <w:sz w:val="28"/>
          <w:szCs w:val="28"/>
        </w:rPr>
        <w:t>)</w:t>
      </w:r>
      <w:r>
        <w:rPr>
          <w:rStyle w:val="Refdenotaalpie"/>
          <w:rFonts w:ascii="Times New Roman" w:hAnsi="Times New Roman" w:cs="Times New Roman"/>
          <w:sz w:val="28"/>
          <w:szCs w:val="28"/>
        </w:rPr>
        <w:footnoteReference w:id="3"/>
      </w:r>
      <w:r>
        <w:rPr>
          <w:rFonts w:ascii="Times New Roman" w:hAnsi="Times New Roman" w:cs="Times New Roman"/>
          <w:sz w:val="28"/>
          <w:szCs w:val="28"/>
        </w:rPr>
        <w:t xml:space="preserve"> aparece la siguiente información:</w:t>
      </w:r>
    </w:p>
    <w:p w14:paraId="53716369" w14:textId="3AD2084B" w:rsidR="001863AE" w:rsidRDefault="001863AE" w:rsidP="001863AE">
      <w:pPr>
        <w:jc w:val="both"/>
        <w:rPr>
          <w:rFonts w:ascii="Times New Roman" w:hAnsi="Times New Roman" w:cs="Times New Roman"/>
          <w:sz w:val="28"/>
          <w:szCs w:val="28"/>
        </w:rPr>
      </w:pPr>
      <w:r>
        <w:rPr>
          <w:rFonts w:ascii="Times New Roman" w:hAnsi="Times New Roman" w:cs="Times New Roman"/>
          <w:sz w:val="28"/>
          <w:szCs w:val="28"/>
        </w:rPr>
        <w:t>“</w:t>
      </w:r>
      <w:r w:rsidRPr="001863AE">
        <w:rPr>
          <w:rFonts w:ascii="Times New Roman" w:hAnsi="Times New Roman" w:cs="Times New Roman"/>
          <w:sz w:val="28"/>
          <w:szCs w:val="28"/>
        </w:rPr>
        <w:t>Los cartuchos .22 Flobert (llamados en Europa 6 mm Flobert) fueron los primeros cartuchos de percusión anular en el mundo, diseñados y producidos en 1845 para la pistola de Salón Flobert. Estos cartuchos no usan pólvora, sino que son propulsados por fulminato de mercurio. Este cartucho también es la base para la creación de armas que usan una cápsula fulminante como impulsor y un balín (pellet) o perdigón (BB) como proyectil. Los cartuchos 6 mm Flobert, por su bajo contenido de detonante, alcanzan velocidades entre los 220 y 210 metros por segundo,​ aproximadamente lo mismo que un fusil de aire comprimido calibre 5,5 mm de mediana potencia, pero ya que es mayor el peso del proyectil, estos cartuchos producen una energía de impacto de entre 27 y 46 julios, el equivalente a un fusil de aire de alta potencia.</w:t>
      </w:r>
      <w:r>
        <w:rPr>
          <w:rFonts w:ascii="Times New Roman" w:hAnsi="Times New Roman" w:cs="Times New Roman"/>
          <w:sz w:val="28"/>
          <w:szCs w:val="28"/>
        </w:rPr>
        <w:t>”</w:t>
      </w:r>
    </w:p>
    <w:p w14:paraId="61FBD50F" w14:textId="1C67CFF3" w:rsidR="001863AE" w:rsidRDefault="001863AE" w:rsidP="001863AE">
      <w:pPr>
        <w:jc w:val="both"/>
        <w:rPr>
          <w:rFonts w:ascii="Times New Roman" w:hAnsi="Times New Roman" w:cs="Times New Roman"/>
          <w:sz w:val="28"/>
          <w:szCs w:val="28"/>
        </w:rPr>
      </w:pPr>
      <w:r>
        <w:rPr>
          <w:rFonts w:ascii="Times New Roman" w:hAnsi="Times New Roman" w:cs="Times New Roman"/>
          <w:sz w:val="28"/>
          <w:szCs w:val="28"/>
        </w:rPr>
        <w:t xml:space="preserve">Por lo tanto, nos encontramos ante un cartucho de Percusión Anular, </w:t>
      </w:r>
      <w:r w:rsidR="00524433">
        <w:rPr>
          <w:rFonts w:ascii="Times New Roman" w:hAnsi="Times New Roman" w:cs="Times New Roman"/>
          <w:sz w:val="28"/>
          <w:szCs w:val="28"/>
        </w:rPr>
        <w:t>que,</w:t>
      </w:r>
      <w:r>
        <w:rPr>
          <w:rFonts w:ascii="Times New Roman" w:hAnsi="Times New Roman" w:cs="Times New Roman"/>
          <w:sz w:val="28"/>
          <w:szCs w:val="28"/>
        </w:rPr>
        <w:t xml:space="preserve"> si bien no lleva pólvora</w:t>
      </w:r>
      <w:r w:rsidR="00770543">
        <w:rPr>
          <w:rFonts w:ascii="Times New Roman" w:hAnsi="Times New Roman" w:cs="Times New Roman"/>
          <w:sz w:val="28"/>
          <w:szCs w:val="28"/>
        </w:rPr>
        <w:t xml:space="preserve">, sigue siendo de percusión anular, y que conforme a la directiva Europea a transponer, debería de estar catalogado como Armas de Tipo B, sujetas a autorización, </w:t>
      </w:r>
    </w:p>
    <w:p w14:paraId="7CF35B45" w14:textId="137839EC" w:rsidR="00770543" w:rsidRDefault="00770543" w:rsidP="001863AE">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652BC8C" wp14:editId="325B542F">
            <wp:extent cx="5400040" cy="1243330"/>
            <wp:effectExtent l="0" t="0" r="0" b="0"/>
            <wp:docPr id="992828004"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28004" name="Imagen 1" descr="Texto&#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5400040" cy="1243330"/>
                    </a:xfrm>
                    <a:prstGeom prst="rect">
                      <a:avLst/>
                    </a:prstGeom>
                  </pic:spPr>
                </pic:pic>
              </a:graphicData>
            </a:graphic>
          </wp:inline>
        </w:drawing>
      </w:r>
    </w:p>
    <w:p w14:paraId="630A7DAE" w14:textId="182FA51E" w:rsidR="001863AE" w:rsidRPr="001863AE" w:rsidRDefault="001863AE" w:rsidP="001863AE">
      <w:pPr>
        <w:jc w:val="both"/>
        <w:rPr>
          <w:rFonts w:ascii="Times New Roman" w:hAnsi="Times New Roman" w:cs="Times New Roman"/>
          <w:sz w:val="28"/>
          <w:szCs w:val="28"/>
        </w:rPr>
      </w:pPr>
    </w:p>
    <w:p w14:paraId="0A25D42F" w14:textId="2CE4E0CC" w:rsidR="001863AE" w:rsidRDefault="00770543" w:rsidP="00B8519B">
      <w:pPr>
        <w:jc w:val="both"/>
        <w:rPr>
          <w:rFonts w:ascii="Times New Roman" w:hAnsi="Times New Roman" w:cs="Times New Roman"/>
          <w:sz w:val="28"/>
          <w:szCs w:val="28"/>
        </w:rPr>
      </w:pPr>
      <w:r>
        <w:rPr>
          <w:rFonts w:ascii="Times New Roman" w:hAnsi="Times New Roman" w:cs="Times New Roman"/>
          <w:sz w:val="28"/>
          <w:szCs w:val="28"/>
        </w:rPr>
        <w:t xml:space="preserve">Y las armas de percusión, Armas de fuego sujetas a </w:t>
      </w:r>
      <w:r w:rsidR="00524433">
        <w:rPr>
          <w:rFonts w:ascii="Times New Roman" w:hAnsi="Times New Roman" w:cs="Times New Roman"/>
          <w:sz w:val="28"/>
          <w:szCs w:val="28"/>
        </w:rPr>
        <w:t>Declaración</w:t>
      </w:r>
      <w:r>
        <w:rPr>
          <w:rFonts w:ascii="Times New Roman" w:hAnsi="Times New Roman" w:cs="Times New Roman"/>
          <w:sz w:val="28"/>
          <w:szCs w:val="28"/>
        </w:rPr>
        <w:t>, Tipo C:</w:t>
      </w:r>
    </w:p>
    <w:p w14:paraId="7EAD0BAE" w14:textId="32289227" w:rsidR="00770543" w:rsidRDefault="00770543" w:rsidP="00B8519B">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97BBBEE" wp14:editId="3AE4852D">
            <wp:extent cx="5400040" cy="1214755"/>
            <wp:effectExtent l="0" t="0" r="0" b="4445"/>
            <wp:docPr id="1666173460" name="Imagen 2" descr="Imagen que contiene interior, ave, tabla, pája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173460" name="Imagen 2" descr="Imagen que contiene interior, ave, tabla, pájaro&#10;&#10;El contenido generado por IA puede ser incorrecto."/>
                    <pic:cNvPicPr/>
                  </pic:nvPicPr>
                  <pic:blipFill>
                    <a:blip r:embed="rId9">
                      <a:extLst>
                        <a:ext uri="{28A0092B-C50C-407E-A947-70E740481C1C}">
                          <a14:useLocalDpi xmlns:a14="http://schemas.microsoft.com/office/drawing/2010/main" val="0"/>
                        </a:ext>
                      </a:extLst>
                    </a:blip>
                    <a:stretch>
                      <a:fillRect/>
                    </a:stretch>
                  </pic:blipFill>
                  <pic:spPr>
                    <a:xfrm>
                      <a:off x="0" y="0"/>
                      <a:ext cx="5400040" cy="1214755"/>
                    </a:xfrm>
                    <a:prstGeom prst="rect">
                      <a:avLst/>
                    </a:prstGeom>
                  </pic:spPr>
                </pic:pic>
              </a:graphicData>
            </a:graphic>
          </wp:inline>
        </w:drawing>
      </w:r>
    </w:p>
    <w:p w14:paraId="0A177453" w14:textId="72A1940E" w:rsidR="00770543" w:rsidRDefault="00770543" w:rsidP="00B8519B">
      <w:pPr>
        <w:jc w:val="both"/>
        <w:rPr>
          <w:rFonts w:ascii="Times New Roman" w:hAnsi="Times New Roman" w:cs="Times New Roman"/>
          <w:sz w:val="28"/>
          <w:szCs w:val="28"/>
        </w:rPr>
      </w:pPr>
      <w:r>
        <w:rPr>
          <w:rFonts w:ascii="Times New Roman" w:hAnsi="Times New Roman" w:cs="Times New Roman"/>
          <w:sz w:val="28"/>
          <w:szCs w:val="28"/>
        </w:rPr>
        <w:lastRenderedPageBreak/>
        <w:t>En ambos casos, la transposición implica transponer la Directiva, no incluirlas en una Categoría que no se ajusta a derecho comunitario, sino en su categoría debida, esto es, Armas de Tipo “B” sujetas a autorización, y de Armas de tipo “C” Sujetas a declaración.</w:t>
      </w:r>
    </w:p>
    <w:p w14:paraId="6109F8A1" w14:textId="0FBE6B9B" w:rsidR="00770543" w:rsidRDefault="00770543" w:rsidP="00B8519B">
      <w:pPr>
        <w:jc w:val="both"/>
        <w:rPr>
          <w:rFonts w:ascii="Times New Roman" w:hAnsi="Times New Roman" w:cs="Times New Roman"/>
          <w:sz w:val="28"/>
          <w:szCs w:val="28"/>
        </w:rPr>
      </w:pPr>
      <w:r>
        <w:rPr>
          <w:rFonts w:ascii="Times New Roman" w:hAnsi="Times New Roman" w:cs="Times New Roman"/>
          <w:sz w:val="28"/>
          <w:szCs w:val="28"/>
        </w:rPr>
        <w:t xml:space="preserve">En ambos supuestos, implica reordenar y adaptar la legislación española realmente a la Directiva 2021/555, y es la de que la clasificación no se corresponde, ni tampoco el régimen de licencias, que es una autorización, versus las armas de tipo C, para lo cual no se requiere autorización, sino una declaración de que se está en posesión de </w:t>
      </w:r>
      <w:r w:rsidR="00524433">
        <w:rPr>
          <w:rFonts w:ascii="Times New Roman" w:hAnsi="Times New Roman" w:cs="Times New Roman"/>
          <w:sz w:val="28"/>
          <w:szCs w:val="28"/>
        </w:rPr>
        <w:t>estas</w:t>
      </w:r>
      <w:r>
        <w:rPr>
          <w:rFonts w:ascii="Times New Roman" w:hAnsi="Times New Roman" w:cs="Times New Roman"/>
          <w:sz w:val="28"/>
          <w:szCs w:val="28"/>
        </w:rPr>
        <w:t xml:space="preserve">. Situación, que para nada sucede en el Reglamento de Armas de España, requiriéndose licencia para </w:t>
      </w:r>
      <w:r w:rsidR="009B6850">
        <w:rPr>
          <w:rFonts w:ascii="Times New Roman" w:hAnsi="Times New Roman" w:cs="Times New Roman"/>
          <w:sz w:val="28"/>
          <w:szCs w:val="28"/>
        </w:rPr>
        <w:t>prácticamente</w:t>
      </w:r>
      <w:r>
        <w:rPr>
          <w:rFonts w:ascii="Times New Roman" w:hAnsi="Times New Roman" w:cs="Times New Roman"/>
          <w:sz w:val="28"/>
          <w:szCs w:val="28"/>
        </w:rPr>
        <w:t xml:space="preserve"> la totalidad de armas ubicadas en la Directiva europea, como Armas Sujetas a Declaración</w:t>
      </w:r>
      <w:r w:rsidR="009B6850">
        <w:rPr>
          <w:rFonts w:ascii="Times New Roman" w:hAnsi="Times New Roman" w:cs="Times New Roman"/>
          <w:sz w:val="28"/>
          <w:szCs w:val="28"/>
        </w:rPr>
        <w:t>, en su Anexo I</w:t>
      </w:r>
      <w:r>
        <w:rPr>
          <w:rFonts w:ascii="Times New Roman" w:hAnsi="Times New Roman" w:cs="Times New Roman"/>
          <w:sz w:val="28"/>
          <w:szCs w:val="28"/>
        </w:rPr>
        <w:t>:</w:t>
      </w:r>
    </w:p>
    <w:p w14:paraId="2CEC2008"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Categoría C — Armas de fuego y armas sujetas a declaración</w:t>
      </w:r>
    </w:p>
    <w:tbl>
      <w:tblPr>
        <w:tblW w:w="0" w:type="auto"/>
        <w:shd w:val="clear" w:color="auto" w:fill="FFFFFF"/>
        <w:tblCellMar>
          <w:left w:w="0" w:type="dxa"/>
          <w:right w:w="0" w:type="dxa"/>
        </w:tblCellMar>
        <w:tblLook w:val="04A0" w:firstRow="1" w:lastRow="0" w:firstColumn="1" w:lastColumn="0" w:noHBand="0" w:noVBand="1"/>
      </w:tblPr>
      <w:tblGrid>
        <w:gridCol w:w="450"/>
        <w:gridCol w:w="8054"/>
      </w:tblGrid>
      <w:tr w:rsidR="009B6850" w:rsidRPr="009B6850" w14:paraId="23BB139E" w14:textId="77777777">
        <w:tc>
          <w:tcPr>
            <w:tcW w:w="0" w:type="auto"/>
            <w:tcBorders>
              <w:top w:val="nil"/>
              <w:left w:val="nil"/>
              <w:bottom w:val="nil"/>
              <w:right w:val="nil"/>
            </w:tcBorders>
            <w:shd w:val="clear" w:color="auto" w:fill="FFFFFF"/>
            <w:tcMar>
              <w:top w:w="120" w:type="dxa"/>
              <w:left w:w="120" w:type="dxa"/>
              <w:bottom w:w="120" w:type="dxa"/>
              <w:right w:w="120" w:type="dxa"/>
            </w:tcMar>
            <w:hideMark/>
          </w:tcPr>
          <w:p w14:paraId="7995A34D"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1.</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7CA6BD5A"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Las armas de fuego largas de repetición, distintas de las enumeradas en la categoría B, punto 7.</w:t>
            </w:r>
          </w:p>
        </w:tc>
      </w:tr>
    </w:tbl>
    <w:p w14:paraId="5AEC59DB" w14:textId="77777777" w:rsidR="009B6850" w:rsidRPr="009B6850" w:rsidRDefault="009B6850" w:rsidP="002B4DE8">
      <w:pPr>
        <w:spacing w:after="0"/>
        <w:jc w:val="both"/>
        <w:rPr>
          <w:rFonts w:ascii="Times New Roman" w:hAnsi="Times New Roman" w:cs="Times New Roman"/>
          <w:vanish/>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450"/>
        <w:gridCol w:w="6883"/>
      </w:tblGrid>
      <w:tr w:rsidR="009B6850" w:rsidRPr="009B6850" w14:paraId="0A1CD3A5" w14:textId="77777777">
        <w:tc>
          <w:tcPr>
            <w:tcW w:w="0" w:type="auto"/>
            <w:tcBorders>
              <w:top w:val="nil"/>
              <w:left w:val="nil"/>
              <w:bottom w:val="nil"/>
              <w:right w:val="nil"/>
            </w:tcBorders>
            <w:shd w:val="clear" w:color="auto" w:fill="FFFFFF"/>
            <w:tcMar>
              <w:top w:w="120" w:type="dxa"/>
              <w:left w:w="120" w:type="dxa"/>
              <w:bottom w:w="120" w:type="dxa"/>
              <w:right w:w="120" w:type="dxa"/>
            </w:tcMar>
            <w:hideMark/>
          </w:tcPr>
          <w:p w14:paraId="38400F02"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2.</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0C8CA183"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Las armas de fuego largas de un solo tiro, de ánima rayada.</w:t>
            </w:r>
          </w:p>
        </w:tc>
      </w:tr>
    </w:tbl>
    <w:p w14:paraId="0EF00523" w14:textId="77777777" w:rsidR="009B6850" w:rsidRPr="009B6850" w:rsidRDefault="009B6850" w:rsidP="002B4DE8">
      <w:pPr>
        <w:spacing w:after="0"/>
        <w:jc w:val="both"/>
        <w:rPr>
          <w:rFonts w:ascii="Times New Roman" w:hAnsi="Times New Roman" w:cs="Times New Roman"/>
          <w:vanish/>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450"/>
        <w:gridCol w:w="8054"/>
      </w:tblGrid>
      <w:tr w:rsidR="009B6850" w:rsidRPr="009B6850" w14:paraId="68325053" w14:textId="77777777">
        <w:tc>
          <w:tcPr>
            <w:tcW w:w="0" w:type="auto"/>
            <w:tcBorders>
              <w:top w:val="nil"/>
              <w:left w:val="nil"/>
              <w:bottom w:val="nil"/>
              <w:right w:val="nil"/>
            </w:tcBorders>
            <w:shd w:val="clear" w:color="auto" w:fill="FFFFFF"/>
            <w:tcMar>
              <w:top w:w="120" w:type="dxa"/>
              <w:left w:w="120" w:type="dxa"/>
              <w:bottom w:w="120" w:type="dxa"/>
              <w:right w:w="120" w:type="dxa"/>
            </w:tcMar>
            <w:hideMark/>
          </w:tcPr>
          <w:p w14:paraId="2901B8ED"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3.</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42203231"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Las armas de fuego largas semiautomáticas distintas de las enumeradas en las categorías A o B.</w:t>
            </w:r>
          </w:p>
        </w:tc>
      </w:tr>
    </w:tbl>
    <w:p w14:paraId="6D4067C7" w14:textId="77777777" w:rsidR="009B6850" w:rsidRPr="009B6850" w:rsidRDefault="009B6850" w:rsidP="002B4DE8">
      <w:pPr>
        <w:spacing w:after="0"/>
        <w:jc w:val="both"/>
        <w:rPr>
          <w:rFonts w:ascii="Times New Roman" w:hAnsi="Times New Roman" w:cs="Times New Roman"/>
          <w:vanish/>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450"/>
        <w:gridCol w:w="8054"/>
      </w:tblGrid>
      <w:tr w:rsidR="009B6850" w:rsidRPr="009B6850" w14:paraId="31F6D29D" w14:textId="77777777">
        <w:tc>
          <w:tcPr>
            <w:tcW w:w="0" w:type="auto"/>
            <w:tcBorders>
              <w:top w:val="nil"/>
              <w:left w:val="nil"/>
              <w:bottom w:val="nil"/>
              <w:right w:val="nil"/>
            </w:tcBorders>
            <w:shd w:val="clear" w:color="auto" w:fill="FFFFFF"/>
            <w:tcMar>
              <w:top w:w="120" w:type="dxa"/>
              <w:left w:w="120" w:type="dxa"/>
              <w:bottom w:w="120" w:type="dxa"/>
              <w:right w:w="120" w:type="dxa"/>
            </w:tcMar>
            <w:hideMark/>
          </w:tcPr>
          <w:p w14:paraId="5ADA1F26"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4.</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7CE9D755"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Las armas de fuego cortas de un solo tiro, de percusión anular, cuya longitud total sea superior o igual a 28 cm.</w:t>
            </w:r>
          </w:p>
        </w:tc>
      </w:tr>
    </w:tbl>
    <w:p w14:paraId="64FA98E4" w14:textId="77777777" w:rsidR="009B6850" w:rsidRPr="009B6850" w:rsidRDefault="009B6850" w:rsidP="002B4DE8">
      <w:pPr>
        <w:spacing w:after="0"/>
        <w:jc w:val="both"/>
        <w:rPr>
          <w:rFonts w:ascii="Times New Roman" w:hAnsi="Times New Roman" w:cs="Times New Roman"/>
          <w:vanish/>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450"/>
        <w:gridCol w:w="8054"/>
      </w:tblGrid>
      <w:tr w:rsidR="009B6850" w:rsidRPr="009B6850" w14:paraId="63A66162" w14:textId="77777777">
        <w:tc>
          <w:tcPr>
            <w:tcW w:w="0" w:type="auto"/>
            <w:tcBorders>
              <w:top w:val="nil"/>
              <w:left w:val="nil"/>
              <w:bottom w:val="nil"/>
              <w:right w:val="nil"/>
            </w:tcBorders>
            <w:shd w:val="clear" w:color="auto" w:fill="FFFFFF"/>
            <w:tcMar>
              <w:top w:w="120" w:type="dxa"/>
              <w:left w:w="120" w:type="dxa"/>
              <w:bottom w:w="120" w:type="dxa"/>
              <w:right w:w="120" w:type="dxa"/>
            </w:tcMar>
            <w:hideMark/>
          </w:tcPr>
          <w:p w14:paraId="7CC84415"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5.</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29E8D0FE"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Toda arma de fuego de esta categoría que haya sido transformada para disparar cartuchos de fogueo, productos irritantes, otras sustancias activas o cartuchos pirotécnicos, o para disparar salvas o señales acústicas.</w:t>
            </w:r>
          </w:p>
        </w:tc>
      </w:tr>
    </w:tbl>
    <w:p w14:paraId="00F2E6E4" w14:textId="77777777" w:rsidR="009B6850" w:rsidRPr="009B6850" w:rsidRDefault="009B6850" w:rsidP="002B4DE8">
      <w:pPr>
        <w:spacing w:after="0"/>
        <w:jc w:val="both"/>
        <w:rPr>
          <w:rFonts w:ascii="Times New Roman" w:hAnsi="Times New Roman" w:cs="Times New Roman"/>
          <w:vanish/>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450"/>
        <w:gridCol w:w="8054"/>
      </w:tblGrid>
      <w:tr w:rsidR="009B6850" w:rsidRPr="009B6850" w14:paraId="752A171A" w14:textId="77777777">
        <w:tc>
          <w:tcPr>
            <w:tcW w:w="0" w:type="auto"/>
            <w:tcBorders>
              <w:top w:val="nil"/>
              <w:left w:val="nil"/>
              <w:bottom w:val="nil"/>
              <w:right w:val="nil"/>
            </w:tcBorders>
            <w:shd w:val="clear" w:color="auto" w:fill="FFFFFF"/>
            <w:tcMar>
              <w:top w:w="120" w:type="dxa"/>
              <w:left w:w="120" w:type="dxa"/>
              <w:bottom w:w="120" w:type="dxa"/>
              <w:right w:w="120" w:type="dxa"/>
            </w:tcMar>
            <w:hideMark/>
          </w:tcPr>
          <w:p w14:paraId="019056BB"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6.</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195BE342"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Las armas de fuego clasificadas en las categorías A o B o esta categoría que hayan sido inutilizadas de conformidad con el Reglamento (UE) 2015/2403 sobre inutilización.</w:t>
            </w:r>
          </w:p>
        </w:tc>
      </w:tr>
    </w:tbl>
    <w:p w14:paraId="6AC533DF" w14:textId="77777777" w:rsidR="009B6850" w:rsidRPr="009B6850" w:rsidRDefault="009B6850" w:rsidP="002B4DE8">
      <w:pPr>
        <w:spacing w:after="0"/>
        <w:jc w:val="both"/>
        <w:rPr>
          <w:rFonts w:ascii="Times New Roman" w:hAnsi="Times New Roman" w:cs="Times New Roman"/>
          <w:vanish/>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450"/>
        <w:gridCol w:w="8054"/>
      </w:tblGrid>
      <w:tr w:rsidR="009B6850" w:rsidRPr="009B6850" w14:paraId="4A7442FA" w14:textId="77777777" w:rsidTr="00E63B9C">
        <w:tc>
          <w:tcPr>
            <w:tcW w:w="0" w:type="auto"/>
            <w:tcBorders>
              <w:top w:val="nil"/>
              <w:left w:val="nil"/>
              <w:bottom w:val="nil"/>
              <w:right w:val="nil"/>
            </w:tcBorders>
            <w:shd w:val="clear" w:color="auto" w:fill="FFFFFF"/>
            <w:tcMar>
              <w:top w:w="120" w:type="dxa"/>
              <w:left w:w="120" w:type="dxa"/>
              <w:bottom w:w="120" w:type="dxa"/>
              <w:right w:w="120" w:type="dxa"/>
            </w:tcMar>
            <w:hideMark/>
          </w:tcPr>
          <w:p w14:paraId="2A63D824" w14:textId="77777777" w:rsidR="009B6850" w:rsidRP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7.</w:t>
            </w:r>
          </w:p>
        </w:tc>
        <w:tc>
          <w:tcPr>
            <w:tcW w:w="0" w:type="auto"/>
            <w:tcBorders>
              <w:top w:val="nil"/>
              <w:left w:val="nil"/>
              <w:bottom w:val="nil"/>
              <w:right w:val="nil"/>
            </w:tcBorders>
            <w:shd w:val="clear" w:color="auto" w:fill="D4D4D4"/>
            <w:tcMar>
              <w:top w:w="120" w:type="dxa"/>
              <w:left w:w="120" w:type="dxa"/>
              <w:bottom w:w="120" w:type="dxa"/>
              <w:right w:w="120" w:type="dxa"/>
            </w:tcMar>
            <w:hideMark/>
          </w:tcPr>
          <w:p w14:paraId="5D403E0C" w14:textId="77777777" w:rsidR="009B6850" w:rsidRDefault="009B6850" w:rsidP="002B4DE8">
            <w:pPr>
              <w:spacing w:after="0"/>
              <w:jc w:val="both"/>
              <w:rPr>
                <w:rFonts w:ascii="Times New Roman" w:hAnsi="Times New Roman" w:cs="Times New Roman"/>
                <w:sz w:val="28"/>
                <w:szCs w:val="28"/>
              </w:rPr>
            </w:pPr>
            <w:r w:rsidRPr="009B6850">
              <w:rPr>
                <w:rFonts w:ascii="Times New Roman" w:hAnsi="Times New Roman" w:cs="Times New Roman"/>
                <w:sz w:val="28"/>
                <w:szCs w:val="28"/>
              </w:rPr>
              <w:t>Las armas de fuego largas de un solo tiro y de ánima lisa comercializadas a 14 de septiembre de 2018 o con posteridad a esa fecha.</w:t>
            </w:r>
          </w:p>
          <w:p w14:paraId="04CB407C" w14:textId="313CBAF5" w:rsidR="009B6850" w:rsidRDefault="00524433" w:rsidP="002B4DE8">
            <w:pPr>
              <w:spacing w:after="0"/>
              <w:jc w:val="both"/>
              <w:rPr>
                <w:rFonts w:ascii="Times New Roman" w:hAnsi="Times New Roman" w:cs="Times New Roman"/>
                <w:sz w:val="28"/>
                <w:szCs w:val="28"/>
              </w:rPr>
            </w:pPr>
            <w:r>
              <w:rPr>
                <w:rFonts w:ascii="Times New Roman" w:hAnsi="Times New Roman" w:cs="Times New Roman"/>
                <w:sz w:val="28"/>
                <w:szCs w:val="28"/>
              </w:rPr>
              <w:t>SEGUNDA. -</w:t>
            </w:r>
            <w:r w:rsidR="009B6850">
              <w:rPr>
                <w:rFonts w:ascii="Times New Roman" w:hAnsi="Times New Roman" w:cs="Times New Roman"/>
                <w:sz w:val="28"/>
                <w:szCs w:val="28"/>
              </w:rPr>
              <w:t xml:space="preserve"> Reorganización Administrativa Interna</w:t>
            </w:r>
          </w:p>
          <w:p w14:paraId="1232BC09" w14:textId="77777777" w:rsidR="009B6850" w:rsidRPr="009B6850" w:rsidRDefault="009B6850" w:rsidP="002B4DE8">
            <w:pPr>
              <w:spacing w:after="0"/>
              <w:jc w:val="both"/>
              <w:rPr>
                <w:rFonts w:ascii="Times New Roman" w:hAnsi="Times New Roman" w:cs="Times New Roman"/>
                <w:i/>
                <w:iCs/>
                <w:sz w:val="28"/>
                <w:szCs w:val="28"/>
              </w:rPr>
            </w:pPr>
            <w:r w:rsidRPr="009B6850">
              <w:rPr>
                <w:rFonts w:ascii="Times New Roman" w:hAnsi="Times New Roman" w:cs="Times New Roman"/>
                <w:i/>
                <w:iCs/>
                <w:sz w:val="28"/>
                <w:szCs w:val="28"/>
              </w:rPr>
              <w:t xml:space="preserve">El Reglamento de Armas establece en su artículo 7 que, en la forma dispuesta en este Reglamento, intervienen, entre otros, el Ministerio del Interior, en cumplimiento de la función de garantizar la seguridad </w:t>
            </w:r>
            <w:r w:rsidRPr="009B6850">
              <w:rPr>
                <w:rFonts w:ascii="Times New Roman" w:hAnsi="Times New Roman" w:cs="Times New Roman"/>
                <w:i/>
                <w:iCs/>
                <w:sz w:val="28"/>
                <w:szCs w:val="28"/>
              </w:rPr>
              <w:lastRenderedPageBreak/>
              <w:t>pública y en ejercicio de las competencias en materia de armas, reguladas en la Ley Orgánica 1/1992, de 21 de febrero (hoy 4/2015, de 30 de marzo), sobre Protección de la Seguridad Ciudadana, a través de la Dirección General de la Guardia Civil, en todas las funciones derivadas de la legislación vigente sobre armas y especialmente en la fabricación, reparación, circulación, almacenamiento, comercio, adquisición, enajenación, depósito, tenencia y uso de las armas.</w:t>
            </w:r>
          </w:p>
          <w:p w14:paraId="0F882428" w14:textId="77777777" w:rsidR="009B6850" w:rsidRPr="009B6850" w:rsidRDefault="009B6850" w:rsidP="002B4DE8">
            <w:pPr>
              <w:spacing w:after="0"/>
              <w:jc w:val="both"/>
              <w:rPr>
                <w:rFonts w:ascii="Times New Roman" w:hAnsi="Times New Roman" w:cs="Times New Roman"/>
                <w:i/>
                <w:iCs/>
                <w:sz w:val="28"/>
                <w:szCs w:val="28"/>
              </w:rPr>
            </w:pPr>
            <w:r w:rsidRPr="009B6850">
              <w:rPr>
                <w:rFonts w:ascii="Times New Roman" w:hAnsi="Times New Roman" w:cs="Times New Roman"/>
                <w:i/>
                <w:iCs/>
                <w:sz w:val="28"/>
                <w:szCs w:val="28"/>
              </w:rPr>
              <w:t xml:space="preserve">Desde la fecha de su entrada en vigor, la Dirección General de la Guardia Civil ha sufrido diversas reformas en su estructura orgánica, central y periférica, que han supuesto la creación, transformación y supresión de Unidades, tanto de mando como de especialidades, por lo que ha sido necesario adecuar las competencias conferidas a través de la correspondiente orden ministerial de delegación de competencias. </w:t>
            </w:r>
          </w:p>
          <w:p w14:paraId="6AC66C24" w14:textId="592F882E" w:rsidR="009B6850" w:rsidRPr="009B6850" w:rsidRDefault="009B6850" w:rsidP="002B4DE8">
            <w:pPr>
              <w:spacing w:after="0"/>
              <w:jc w:val="both"/>
              <w:rPr>
                <w:rFonts w:ascii="Times New Roman" w:hAnsi="Times New Roman" w:cs="Times New Roman"/>
                <w:i/>
                <w:iCs/>
                <w:sz w:val="28"/>
                <w:szCs w:val="28"/>
              </w:rPr>
            </w:pPr>
            <w:r w:rsidRPr="009B6850">
              <w:rPr>
                <w:rFonts w:ascii="Times New Roman" w:hAnsi="Times New Roman" w:cs="Times New Roman"/>
                <w:i/>
                <w:iCs/>
                <w:sz w:val="28"/>
                <w:szCs w:val="28"/>
              </w:rPr>
              <w:t xml:space="preserve">Especialmente relevantes han sido la creación de la Jefatura de Armas, Explosivos y Seguridad en el Real Decreto 952/2018, de 27 de julio, por el que se desarrolla la estructura orgánica del Ministerio del Interior, y la del Punto Focal Nacional de Armas en el Real Decreto 734/2020, que derogó el anterior, como consecuencia de la Comunicación COM(2015) 624 final, de 2 de diciembre de 2015, que estableció el Plan de Acción de la UE contra el tráfico ilícito de armas de fuego y explosivos, instando expresamente a los Estados miembros a crear, reforzar y profesionalizar los Puntos Focales Nacionales de Armas de Fuego para asegurar la centralización, análisis y difusión de la inteligencia sobre armas ilícitas recuperadas o utilizadas en hechos delictivos.  </w:t>
            </w:r>
          </w:p>
          <w:p w14:paraId="0A28AC7B" w14:textId="556DA7AD" w:rsidR="009B6850" w:rsidRPr="009B6850" w:rsidRDefault="009B6850" w:rsidP="002B4DE8">
            <w:pPr>
              <w:spacing w:after="0"/>
              <w:jc w:val="both"/>
              <w:rPr>
                <w:rFonts w:ascii="Times New Roman" w:hAnsi="Times New Roman" w:cs="Times New Roman"/>
                <w:i/>
                <w:iCs/>
                <w:sz w:val="28"/>
                <w:szCs w:val="28"/>
              </w:rPr>
            </w:pPr>
            <w:r w:rsidRPr="009B6850">
              <w:rPr>
                <w:rFonts w:ascii="Times New Roman" w:hAnsi="Times New Roman" w:cs="Times New Roman"/>
                <w:i/>
                <w:iCs/>
                <w:sz w:val="28"/>
                <w:szCs w:val="28"/>
              </w:rPr>
              <w:t xml:space="preserve">También se ha publicado la Resolución de 16 de junio de 2021, de la Dirección General de la Guardia Civil, por la que se designan autoridades para la expedición de guías de pertenencia de armas de fuego en virtud de lo dispuesto en el artículo 115.1 del Reglamento de Armas. La modificación del Reglamento de Armas mediante el Real Decreto 726/2020, de 4 de agosto, permitió adecuar parcialmente las competencias en materia de armas a la nueva estructura de la Dirección General. </w:t>
            </w:r>
          </w:p>
          <w:p w14:paraId="370CC79D" w14:textId="3F64694E" w:rsidR="009B6850" w:rsidRPr="009B6850" w:rsidRDefault="009B6850" w:rsidP="002B4DE8">
            <w:pPr>
              <w:spacing w:after="0"/>
              <w:jc w:val="both"/>
              <w:rPr>
                <w:rFonts w:ascii="Times New Roman" w:hAnsi="Times New Roman" w:cs="Times New Roman"/>
                <w:i/>
                <w:iCs/>
                <w:sz w:val="28"/>
                <w:szCs w:val="28"/>
              </w:rPr>
            </w:pPr>
            <w:r w:rsidRPr="009B6850">
              <w:rPr>
                <w:rFonts w:ascii="Times New Roman" w:hAnsi="Times New Roman" w:cs="Times New Roman"/>
                <w:i/>
                <w:iCs/>
                <w:sz w:val="28"/>
                <w:szCs w:val="28"/>
              </w:rPr>
              <w:t xml:space="preserve">Se aprovecha esta reforma para incorporar otras modificaciones exigidas por el transcurso del tiempo, reformas normativas y los informes de inteligencia sobre nuevas formas de adquisición de armas </w:t>
            </w:r>
            <w:r w:rsidRPr="009B6850">
              <w:rPr>
                <w:rFonts w:ascii="Times New Roman" w:hAnsi="Times New Roman" w:cs="Times New Roman"/>
                <w:i/>
                <w:iCs/>
                <w:sz w:val="28"/>
                <w:szCs w:val="28"/>
              </w:rPr>
              <w:lastRenderedPageBreak/>
              <w:t>legales por la delincuencia organizada y bandas latinas y la experiencia acumulada durante la vigencia de este Reglamento.</w:t>
            </w:r>
          </w:p>
          <w:p w14:paraId="5367A6BB" w14:textId="77777777" w:rsidR="009B6850" w:rsidRPr="009B6850" w:rsidRDefault="009B6850" w:rsidP="002B4DE8">
            <w:pPr>
              <w:spacing w:after="0"/>
              <w:jc w:val="both"/>
              <w:rPr>
                <w:rFonts w:ascii="Times New Roman" w:hAnsi="Times New Roman" w:cs="Times New Roman"/>
                <w:sz w:val="28"/>
                <w:szCs w:val="28"/>
              </w:rPr>
            </w:pPr>
          </w:p>
        </w:tc>
      </w:tr>
    </w:tbl>
    <w:p w14:paraId="424C6848" w14:textId="77777777" w:rsidR="00770543" w:rsidRPr="009376AC" w:rsidRDefault="00770543" w:rsidP="00B8519B">
      <w:pPr>
        <w:jc w:val="both"/>
        <w:rPr>
          <w:rFonts w:ascii="Times New Roman" w:hAnsi="Times New Roman" w:cs="Times New Roman"/>
          <w:sz w:val="28"/>
          <w:szCs w:val="28"/>
        </w:rPr>
      </w:pPr>
    </w:p>
    <w:p w14:paraId="2EEF08BA" w14:textId="44481AB2" w:rsidR="009376AC" w:rsidRDefault="005E798C" w:rsidP="002B4DE8">
      <w:pPr>
        <w:jc w:val="both"/>
        <w:rPr>
          <w:rFonts w:ascii="Times New Roman" w:hAnsi="Times New Roman" w:cs="Times New Roman"/>
          <w:sz w:val="28"/>
          <w:szCs w:val="28"/>
        </w:rPr>
      </w:pPr>
      <w:r>
        <w:rPr>
          <w:rFonts w:ascii="Times New Roman" w:hAnsi="Times New Roman" w:cs="Times New Roman"/>
          <w:sz w:val="28"/>
          <w:szCs w:val="28"/>
        </w:rPr>
        <w:t xml:space="preserve">Con todo el respeto ante la administración actuante, </w:t>
      </w:r>
      <w:r w:rsidR="001278FB">
        <w:rPr>
          <w:rFonts w:ascii="Times New Roman" w:hAnsi="Times New Roman" w:cs="Times New Roman"/>
          <w:sz w:val="28"/>
          <w:szCs w:val="28"/>
        </w:rPr>
        <w:t>esta cuestión que se emplaza dentro de un proyecto de Reglamento de Armas, y a sazón de lo que esgrime la misma, es un aspecto meramente organizativo interno dentro del Instituto Armado, y que de difícil manera se puede aportar un razonamiento jurídico, ya que faltan todas y cada una de las informaciones pertinentes para poder pronunciarse.</w:t>
      </w:r>
    </w:p>
    <w:p w14:paraId="13B583F8" w14:textId="29A1F7B9" w:rsidR="001278FB" w:rsidRDefault="001278FB" w:rsidP="002B4DE8">
      <w:pPr>
        <w:jc w:val="both"/>
        <w:rPr>
          <w:rFonts w:ascii="Times New Roman" w:hAnsi="Times New Roman" w:cs="Times New Roman"/>
          <w:i/>
          <w:iCs/>
          <w:sz w:val="28"/>
          <w:szCs w:val="28"/>
        </w:rPr>
      </w:pPr>
      <w:r>
        <w:rPr>
          <w:rFonts w:ascii="Times New Roman" w:hAnsi="Times New Roman" w:cs="Times New Roman"/>
          <w:sz w:val="28"/>
          <w:szCs w:val="28"/>
        </w:rPr>
        <w:t xml:space="preserve">Así las </w:t>
      </w:r>
      <w:r w:rsidR="002B4DE8">
        <w:rPr>
          <w:rFonts w:ascii="Times New Roman" w:hAnsi="Times New Roman" w:cs="Times New Roman"/>
          <w:sz w:val="28"/>
          <w:szCs w:val="28"/>
        </w:rPr>
        <w:t>cosas, el</w:t>
      </w:r>
      <w:r>
        <w:rPr>
          <w:rFonts w:ascii="Times New Roman" w:hAnsi="Times New Roman" w:cs="Times New Roman"/>
          <w:sz w:val="28"/>
          <w:szCs w:val="28"/>
        </w:rPr>
        <w:t xml:space="preserve"> art. 149.</w:t>
      </w:r>
      <w:r w:rsidR="00524433">
        <w:rPr>
          <w:rFonts w:ascii="Times New Roman" w:hAnsi="Times New Roman" w:cs="Times New Roman"/>
          <w:sz w:val="28"/>
          <w:szCs w:val="28"/>
        </w:rPr>
        <w:t>1. 26ª</w:t>
      </w:r>
      <w:r w:rsidR="002B4DE8">
        <w:rPr>
          <w:rFonts w:ascii="Times New Roman" w:hAnsi="Times New Roman" w:cs="Times New Roman"/>
          <w:sz w:val="28"/>
          <w:szCs w:val="28"/>
        </w:rPr>
        <w:t xml:space="preserve"> de la Carta Magna</w:t>
      </w:r>
      <w:r>
        <w:rPr>
          <w:rFonts w:ascii="Times New Roman" w:hAnsi="Times New Roman" w:cs="Times New Roman"/>
          <w:sz w:val="28"/>
          <w:szCs w:val="28"/>
        </w:rPr>
        <w:t xml:space="preserve">, otorga la competencia Exclusiva al Gobierno del Reino de España, </w:t>
      </w:r>
      <w:r w:rsidR="00DD022E">
        <w:rPr>
          <w:rFonts w:ascii="Times New Roman" w:hAnsi="Times New Roman" w:cs="Times New Roman"/>
          <w:sz w:val="28"/>
          <w:szCs w:val="28"/>
        </w:rPr>
        <w:t xml:space="preserve">en materia </w:t>
      </w:r>
      <w:r w:rsidR="00524433">
        <w:rPr>
          <w:rFonts w:ascii="Times New Roman" w:hAnsi="Times New Roman" w:cs="Times New Roman"/>
          <w:sz w:val="28"/>
          <w:szCs w:val="28"/>
        </w:rPr>
        <w:t>de:</w:t>
      </w:r>
      <w:r w:rsidR="00DD022E">
        <w:rPr>
          <w:rFonts w:ascii="Times New Roman" w:hAnsi="Times New Roman" w:cs="Times New Roman"/>
          <w:sz w:val="28"/>
          <w:szCs w:val="28"/>
        </w:rPr>
        <w:t xml:space="preserve"> </w:t>
      </w:r>
      <w:r w:rsidR="00DD022E" w:rsidRPr="00DD022E">
        <w:rPr>
          <w:rFonts w:ascii="Times New Roman" w:hAnsi="Times New Roman" w:cs="Times New Roman"/>
          <w:i/>
          <w:iCs/>
          <w:sz w:val="28"/>
          <w:szCs w:val="28"/>
        </w:rPr>
        <w:t>Régimen de producción, comercio, tenencia y uso de armas y explosivos</w:t>
      </w:r>
    </w:p>
    <w:p w14:paraId="4AE929FF" w14:textId="281C7815" w:rsidR="00DD022E" w:rsidRDefault="00DD022E" w:rsidP="00DD022E">
      <w:pPr>
        <w:jc w:val="both"/>
        <w:rPr>
          <w:rFonts w:ascii="Times New Roman" w:hAnsi="Times New Roman" w:cs="Times New Roman"/>
          <w:sz w:val="28"/>
          <w:szCs w:val="28"/>
        </w:rPr>
      </w:pPr>
      <w:r>
        <w:rPr>
          <w:rFonts w:ascii="Times New Roman" w:hAnsi="Times New Roman" w:cs="Times New Roman"/>
          <w:sz w:val="28"/>
          <w:szCs w:val="28"/>
        </w:rPr>
        <w:t xml:space="preserve">Redactados al albur y Desarrollando dicha competencia exclusiva se promulgó la vigente </w:t>
      </w:r>
      <w:r w:rsidRPr="00DD022E">
        <w:rPr>
          <w:rFonts w:ascii="Times New Roman" w:hAnsi="Times New Roman" w:cs="Times New Roman"/>
          <w:sz w:val="28"/>
          <w:szCs w:val="28"/>
        </w:rPr>
        <w:t>Ley Orgánica 4/2015, de 30 de marzo, de protección de la seguridad ciudadana</w:t>
      </w:r>
      <w:r>
        <w:rPr>
          <w:rFonts w:ascii="Times New Roman" w:hAnsi="Times New Roman" w:cs="Times New Roman"/>
          <w:sz w:val="28"/>
          <w:szCs w:val="28"/>
        </w:rPr>
        <w:t>, en cuyo caso los artículos 28 y 29 son los únicos de la misma normativa con rango de Ley, que se regularon bajo el amparo de dicha competencia, situación que se refleja literalmente en la Disposición Final Segunda. Títulos Competenciales de la citada Ley</w:t>
      </w:r>
    </w:p>
    <w:p w14:paraId="78DF6281" w14:textId="18CDE523" w:rsidR="00DD022E" w:rsidRDefault="00DD022E" w:rsidP="00DD022E">
      <w:pPr>
        <w:jc w:val="both"/>
        <w:rPr>
          <w:rFonts w:ascii="Times New Roman" w:hAnsi="Times New Roman" w:cs="Times New Roman"/>
          <w:sz w:val="28"/>
          <w:szCs w:val="28"/>
        </w:rPr>
      </w:pPr>
      <w:r>
        <w:rPr>
          <w:rFonts w:ascii="Times New Roman" w:hAnsi="Times New Roman" w:cs="Times New Roman"/>
          <w:sz w:val="28"/>
          <w:szCs w:val="28"/>
        </w:rPr>
        <w:t xml:space="preserve">Por otra parte, la </w:t>
      </w:r>
      <w:r w:rsidRPr="00DD022E">
        <w:rPr>
          <w:rFonts w:ascii="Times New Roman" w:hAnsi="Times New Roman" w:cs="Times New Roman"/>
          <w:sz w:val="28"/>
          <w:szCs w:val="28"/>
        </w:rPr>
        <w:t>Ley Orgánica 2/1986, de 13 de marzo, de Fuerzas y Cuerpos de Seguridad</w:t>
      </w:r>
      <w:r>
        <w:rPr>
          <w:rFonts w:ascii="Times New Roman" w:hAnsi="Times New Roman" w:cs="Times New Roman"/>
          <w:sz w:val="28"/>
          <w:szCs w:val="28"/>
        </w:rPr>
        <w:t>, estipula en su artículo 12.1.B) que</w:t>
      </w:r>
    </w:p>
    <w:p w14:paraId="569BB7BA" w14:textId="12CDB682" w:rsidR="00DD022E" w:rsidRPr="00DD022E" w:rsidRDefault="00DD022E" w:rsidP="00DD022E">
      <w:pPr>
        <w:jc w:val="both"/>
        <w:rPr>
          <w:rFonts w:ascii="Times New Roman" w:hAnsi="Times New Roman" w:cs="Times New Roman"/>
          <w:i/>
          <w:iCs/>
          <w:sz w:val="28"/>
          <w:szCs w:val="28"/>
        </w:rPr>
      </w:pPr>
      <w:r>
        <w:rPr>
          <w:rFonts w:ascii="Times New Roman" w:hAnsi="Times New Roman" w:cs="Times New Roman"/>
          <w:sz w:val="28"/>
          <w:szCs w:val="28"/>
        </w:rPr>
        <w:t xml:space="preserve"> “</w:t>
      </w:r>
      <w:r w:rsidRPr="00DD022E">
        <w:rPr>
          <w:rFonts w:ascii="Times New Roman" w:hAnsi="Times New Roman" w:cs="Times New Roman"/>
          <w:i/>
          <w:iCs/>
          <w:sz w:val="28"/>
          <w:szCs w:val="28"/>
        </w:rPr>
        <w:t>1. Además de las funciones comunes establecidas en el artículo anterior, se establece la siguiente distribución material de competencias</w:t>
      </w:r>
    </w:p>
    <w:p w14:paraId="78421DC2" w14:textId="77777777" w:rsidR="00DD022E" w:rsidRPr="00DD022E" w:rsidRDefault="00DD022E" w:rsidP="00DD022E">
      <w:pPr>
        <w:jc w:val="both"/>
        <w:rPr>
          <w:rFonts w:ascii="Times New Roman" w:hAnsi="Times New Roman" w:cs="Times New Roman"/>
          <w:i/>
          <w:iCs/>
          <w:sz w:val="28"/>
          <w:szCs w:val="28"/>
        </w:rPr>
      </w:pPr>
      <w:r w:rsidRPr="00DD022E">
        <w:rPr>
          <w:rFonts w:ascii="Times New Roman" w:hAnsi="Times New Roman" w:cs="Times New Roman"/>
          <w:i/>
          <w:iCs/>
          <w:sz w:val="28"/>
          <w:szCs w:val="28"/>
        </w:rPr>
        <w:t>B) Serán ejercidas por la Guardia Civil:</w:t>
      </w:r>
    </w:p>
    <w:p w14:paraId="1B7C9F47" w14:textId="0E9465FF" w:rsidR="00DD022E" w:rsidRDefault="00DD022E" w:rsidP="00DD022E">
      <w:pPr>
        <w:jc w:val="both"/>
        <w:rPr>
          <w:rFonts w:ascii="Times New Roman" w:hAnsi="Times New Roman" w:cs="Times New Roman"/>
          <w:i/>
          <w:iCs/>
          <w:sz w:val="28"/>
          <w:szCs w:val="28"/>
        </w:rPr>
      </w:pPr>
      <w:r w:rsidRPr="00DD022E">
        <w:rPr>
          <w:rFonts w:ascii="Times New Roman" w:hAnsi="Times New Roman" w:cs="Times New Roman"/>
          <w:i/>
          <w:iCs/>
          <w:sz w:val="28"/>
          <w:szCs w:val="28"/>
        </w:rPr>
        <w:t>a) Las derivadas de la legislación vigente sobre armas y explosivos.</w:t>
      </w:r>
      <w:r>
        <w:rPr>
          <w:rFonts w:ascii="Times New Roman" w:hAnsi="Times New Roman" w:cs="Times New Roman"/>
          <w:i/>
          <w:iCs/>
          <w:sz w:val="28"/>
          <w:szCs w:val="28"/>
        </w:rPr>
        <w:t>”</w:t>
      </w:r>
    </w:p>
    <w:p w14:paraId="664C859F" w14:textId="69B6AEEA" w:rsidR="00DD022E" w:rsidRDefault="00DD022E" w:rsidP="00DD022E">
      <w:pPr>
        <w:jc w:val="both"/>
        <w:rPr>
          <w:rFonts w:ascii="Times New Roman" w:hAnsi="Times New Roman" w:cs="Times New Roman"/>
          <w:sz w:val="28"/>
          <w:szCs w:val="28"/>
        </w:rPr>
      </w:pPr>
      <w:r>
        <w:rPr>
          <w:rFonts w:ascii="Times New Roman" w:hAnsi="Times New Roman" w:cs="Times New Roman"/>
          <w:sz w:val="28"/>
          <w:szCs w:val="28"/>
        </w:rPr>
        <w:t xml:space="preserve">Es decir, la Guardia Civil como institución, ya tiene las competencias como Fuerza de Seguridad del Estado en cuestión de legislación sobre armas y explosivos, competencias que se refuerzan con el vigente </w:t>
      </w:r>
      <w:r w:rsidR="009A3202" w:rsidRPr="009A3202">
        <w:rPr>
          <w:rFonts w:ascii="Times New Roman" w:hAnsi="Times New Roman" w:cs="Times New Roman"/>
          <w:sz w:val="28"/>
          <w:szCs w:val="28"/>
        </w:rPr>
        <w:t>Real Decreto 207/2024, de 27 de febrero, por el que se desarrolla la estructura orgánica básica del Ministerio del Interior</w:t>
      </w:r>
      <w:r>
        <w:rPr>
          <w:rFonts w:ascii="Times New Roman" w:hAnsi="Times New Roman" w:cs="Times New Roman"/>
          <w:sz w:val="28"/>
          <w:szCs w:val="28"/>
        </w:rPr>
        <w:t>, en cuyo artículo 4.1g) regula que:</w:t>
      </w:r>
    </w:p>
    <w:p w14:paraId="1FF12F37" w14:textId="3E268311" w:rsidR="00DD022E" w:rsidRPr="009A3202" w:rsidRDefault="00DD022E" w:rsidP="00DD022E">
      <w:pPr>
        <w:pStyle w:val="Prrafodelista"/>
        <w:numPr>
          <w:ilvl w:val="0"/>
          <w:numId w:val="1"/>
        </w:numPr>
        <w:jc w:val="both"/>
        <w:rPr>
          <w:rFonts w:ascii="Times New Roman" w:hAnsi="Times New Roman" w:cs="Times New Roman"/>
          <w:i/>
          <w:iCs/>
          <w:sz w:val="28"/>
          <w:szCs w:val="28"/>
        </w:rPr>
      </w:pPr>
      <w:r w:rsidRPr="009A3202">
        <w:rPr>
          <w:rFonts w:ascii="Times New Roman" w:hAnsi="Times New Roman" w:cs="Times New Roman"/>
          <w:i/>
          <w:iCs/>
          <w:sz w:val="28"/>
          <w:szCs w:val="28"/>
        </w:rPr>
        <w:t xml:space="preserve">La Dirección General de la Guardia Civil, cuyo titular tiene rango de subsecretario, es el órgano del Ministerio encargado de la ordenación, dirección, coordinación y ejecución de las misiones que a la Guardia Civil encomienden las disposiciones vigentes, de acuerdo con las directrices y órdenes emanadas de las personas </w:t>
      </w:r>
      <w:r w:rsidRPr="009A3202">
        <w:rPr>
          <w:rFonts w:ascii="Times New Roman" w:hAnsi="Times New Roman" w:cs="Times New Roman"/>
          <w:i/>
          <w:iCs/>
          <w:sz w:val="28"/>
          <w:szCs w:val="28"/>
        </w:rPr>
        <w:lastRenderedPageBreak/>
        <w:t>titulares de los Ministerios del Interior y de Defensa, en el ámbito de sus respectivas competencias</w:t>
      </w:r>
    </w:p>
    <w:p w14:paraId="015F0725" w14:textId="1980C0D0" w:rsidR="00DD022E" w:rsidRPr="009A3202" w:rsidRDefault="00DD022E" w:rsidP="00DD022E">
      <w:pPr>
        <w:pStyle w:val="Prrafodelista"/>
        <w:jc w:val="both"/>
        <w:rPr>
          <w:rFonts w:ascii="Times New Roman" w:hAnsi="Times New Roman" w:cs="Times New Roman"/>
          <w:i/>
          <w:iCs/>
          <w:sz w:val="28"/>
          <w:szCs w:val="28"/>
        </w:rPr>
      </w:pPr>
      <w:r w:rsidRPr="009A3202">
        <w:rPr>
          <w:rFonts w:ascii="Times New Roman" w:hAnsi="Times New Roman" w:cs="Times New Roman"/>
          <w:i/>
          <w:iCs/>
          <w:sz w:val="28"/>
          <w:szCs w:val="28"/>
        </w:rPr>
        <w:t xml:space="preserve">g) </w:t>
      </w:r>
      <w:r w:rsidR="009A3202" w:rsidRPr="009A3202">
        <w:rPr>
          <w:rFonts w:ascii="Times New Roman" w:hAnsi="Times New Roman" w:cs="Times New Roman"/>
          <w:i/>
          <w:iCs/>
          <w:sz w:val="28"/>
          <w:szCs w:val="28"/>
        </w:rPr>
        <w:t>Cumplir las funciones que le atribuye la legislación en materia de armas y explosivos.</w:t>
      </w:r>
    </w:p>
    <w:p w14:paraId="6C044D73" w14:textId="1F047F65" w:rsidR="009A3202" w:rsidRDefault="009A3202" w:rsidP="009A3202">
      <w:pPr>
        <w:jc w:val="both"/>
        <w:rPr>
          <w:rFonts w:ascii="Times New Roman" w:hAnsi="Times New Roman" w:cs="Times New Roman"/>
          <w:sz w:val="28"/>
          <w:szCs w:val="28"/>
        </w:rPr>
      </w:pPr>
      <w:r>
        <w:rPr>
          <w:rFonts w:ascii="Times New Roman" w:hAnsi="Times New Roman" w:cs="Times New Roman"/>
          <w:sz w:val="28"/>
          <w:szCs w:val="28"/>
        </w:rPr>
        <w:t xml:space="preserve">El art. 4.7.e) del citado </w:t>
      </w:r>
      <w:r w:rsidRPr="009A3202">
        <w:rPr>
          <w:rFonts w:ascii="Times New Roman" w:hAnsi="Times New Roman" w:cs="Times New Roman"/>
          <w:sz w:val="28"/>
          <w:szCs w:val="28"/>
        </w:rPr>
        <w:t>Real Decreto 207/2024, de 27 de febrero, por el que se desarrolla la estructura orgánica básica del Ministerio del Interior</w:t>
      </w:r>
      <w:r>
        <w:rPr>
          <w:rFonts w:ascii="Times New Roman" w:hAnsi="Times New Roman" w:cs="Times New Roman"/>
          <w:sz w:val="28"/>
          <w:szCs w:val="28"/>
        </w:rPr>
        <w:t>, regula que</w:t>
      </w:r>
    </w:p>
    <w:p w14:paraId="2A23E102" w14:textId="622A177D" w:rsidR="009A3202" w:rsidRDefault="009A3202" w:rsidP="009A3202">
      <w:pPr>
        <w:jc w:val="both"/>
        <w:rPr>
          <w:rFonts w:ascii="Times New Roman" w:hAnsi="Times New Roman" w:cs="Times New Roman"/>
          <w:sz w:val="28"/>
          <w:szCs w:val="28"/>
        </w:rPr>
      </w:pPr>
      <w:r>
        <w:rPr>
          <w:rFonts w:ascii="Times New Roman" w:hAnsi="Times New Roman" w:cs="Times New Roman"/>
          <w:sz w:val="28"/>
          <w:szCs w:val="28"/>
        </w:rPr>
        <w:t>“</w:t>
      </w:r>
      <w:r w:rsidRPr="009A3202">
        <w:rPr>
          <w:rFonts w:ascii="Times New Roman" w:hAnsi="Times New Roman" w:cs="Times New Roman"/>
          <w:i/>
          <w:iCs/>
          <w:sz w:val="28"/>
          <w:szCs w:val="28"/>
        </w:rPr>
        <w:t>La Jefatura de Armas, Explosivos y Seguridad, a cargo de un Oficial General de la Guardia Civil en situación de servicio activo, a la que corresponde planificar, organizar, inspeccionar y controlar las actividades que la normativa sobre armas y explosivos, artículos pirotécnicos y cartuchería encomienda a la Guardia Civil, así como ejercer las competencias que, en materia de protección y seguridad, están encomendadas al Cuerpo y que no estén expresamente conferidas a otros órganos especializados de su estructura. Dependerá de esta Jefatura el Punto Focal Nacional de Armas</w:t>
      </w:r>
      <w:r>
        <w:rPr>
          <w:rFonts w:ascii="Times New Roman" w:hAnsi="Times New Roman" w:cs="Times New Roman"/>
          <w:sz w:val="28"/>
          <w:szCs w:val="28"/>
        </w:rPr>
        <w:t>”</w:t>
      </w:r>
    </w:p>
    <w:p w14:paraId="701D83BB" w14:textId="58FD3D6E" w:rsidR="009A3202" w:rsidRDefault="009A3202" w:rsidP="009A3202">
      <w:pPr>
        <w:jc w:val="both"/>
        <w:rPr>
          <w:rFonts w:ascii="Times New Roman" w:hAnsi="Times New Roman" w:cs="Times New Roman"/>
          <w:sz w:val="28"/>
          <w:szCs w:val="28"/>
        </w:rPr>
      </w:pPr>
      <w:r>
        <w:rPr>
          <w:rFonts w:ascii="Times New Roman" w:hAnsi="Times New Roman" w:cs="Times New Roman"/>
          <w:sz w:val="28"/>
          <w:szCs w:val="28"/>
        </w:rPr>
        <w:t>De manera cuanto menos sorprendente, ninguna atribución y/o competencia tienen encomendada dentro de las organizativas en cuanto a la potestad reglamentaria, sino como bien se puede leer, planificar, organizar, inspeccionar y controlar las actividades, así como de la “ordenación, dirección, coordinación y ejecución”, nada que ver, con la potestad normativa de rango reglamentario, como se está pretendiendo.</w:t>
      </w:r>
    </w:p>
    <w:p w14:paraId="3859B8CB" w14:textId="7384DD67" w:rsidR="002B4DE8" w:rsidRDefault="002B4DE8" w:rsidP="00DD022E">
      <w:pPr>
        <w:jc w:val="both"/>
        <w:rPr>
          <w:rFonts w:ascii="Times New Roman" w:hAnsi="Times New Roman" w:cs="Times New Roman"/>
          <w:sz w:val="28"/>
          <w:szCs w:val="28"/>
        </w:rPr>
      </w:pPr>
      <w:r>
        <w:rPr>
          <w:rFonts w:ascii="Times New Roman" w:hAnsi="Times New Roman" w:cs="Times New Roman"/>
          <w:sz w:val="28"/>
          <w:szCs w:val="28"/>
        </w:rPr>
        <w:t>Añadido a todo lo anterior, y sobre todo al último párrafo, se hace referencia a informes de inteligencia y a la experiencia, sin embargo, por parte de los informes de inteligencia, hay que tener en cuenta dos cosas, y no son baladís.</w:t>
      </w:r>
    </w:p>
    <w:p w14:paraId="3D08095F" w14:textId="6D7A4679" w:rsidR="002B4DE8" w:rsidRDefault="002B4DE8" w:rsidP="00DD022E">
      <w:pPr>
        <w:jc w:val="both"/>
        <w:rPr>
          <w:rFonts w:ascii="Times New Roman" w:hAnsi="Times New Roman" w:cs="Times New Roman"/>
          <w:sz w:val="28"/>
          <w:szCs w:val="28"/>
        </w:rPr>
      </w:pPr>
      <w:r>
        <w:rPr>
          <w:rFonts w:ascii="Times New Roman" w:hAnsi="Times New Roman" w:cs="Times New Roman"/>
          <w:sz w:val="28"/>
          <w:szCs w:val="28"/>
        </w:rPr>
        <w:t>En primer lugar, para presentar un anteproyecto por consulta pública, el art. 133 de la Ley 39/2015. Regula en su punto tercero que</w:t>
      </w:r>
    </w:p>
    <w:p w14:paraId="047CFBED" w14:textId="7E69BFDD" w:rsidR="002B4DE8" w:rsidRDefault="002B4DE8" w:rsidP="00DD022E">
      <w:pPr>
        <w:jc w:val="both"/>
        <w:rPr>
          <w:rFonts w:ascii="Times New Roman" w:hAnsi="Times New Roman" w:cs="Times New Roman"/>
          <w:sz w:val="28"/>
          <w:szCs w:val="28"/>
        </w:rPr>
      </w:pPr>
      <w:r>
        <w:rPr>
          <w:rFonts w:ascii="Times New Roman" w:hAnsi="Times New Roman" w:cs="Times New Roman"/>
          <w:sz w:val="28"/>
          <w:szCs w:val="28"/>
        </w:rPr>
        <w:t>“</w:t>
      </w:r>
      <w:r w:rsidRPr="002B4DE8">
        <w:rPr>
          <w:rFonts w:ascii="Times New Roman" w:hAnsi="Times New Roman" w:cs="Times New Roman"/>
          <w:i/>
          <w:iCs/>
          <w:sz w:val="28"/>
          <w:szCs w:val="28"/>
        </w:rPr>
        <w:t>La consulta, audiencia e información públicas reguladas en este artículo deberán realizarse de forma tal que los potenciales destinatarios de la norma y quienes realicen aportaciones sobre ella tengan la posibilidad de emitir su opinión, para lo cual deberán ponerse a su disposición los documentos necesarios, que serán claros, concisos y reunir toda la información precisa para poder pronunciarse sobre la materia”</w:t>
      </w:r>
      <w:r>
        <w:rPr>
          <w:rFonts w:ascii="Times New Roman" w:hAnsi="Times New Roman" w:cs="Times New Roman"/>
          <w:sz w:val="28"/>
          <w:szCs w:val="28"/>
        </w:rPr>
        <w:t xml:space="preserve"> </w:t>
      </w:r>
    </w:p>
    <w:p w14:paraId="2508850F" w14:textId="351DB848" w:rsidR="002B4DE8" w:rsidRDefault="002B4DE8" w:rsidP="00DD022E">
      <w:pPr>
        <w:jc w:val="both"/>
        <w:rPr>
          <w:rFonts w:ascii="Times New Roman" w:hAnsi="Times New Roman" w:cs="Times New Roman"/>
          <w:sz w:val="28"/>
          <w:szCs w:val="28"/>
        </w:rPr>
      </w:pPr>
      <w:r>
        <w:rPr>
          <w:rFonts w:ascii="Times New Roman" w:hAnsi="Times New Roman" w:cs="Times New Roman"/>
          <w:sz w:val="28"/>
          <w:szCs w:val="28"/>
        </w:rPr>
        <w:t xml:space="preserve">No se ha aportado ningún documento, ni información precisa, </w:t>
      </w:r>
      <w:r w:rsidR="00524433">
        <w:rPr>
          <w:rFonts w:ascii="Times New Roman" w:hAnsi="Times New Roman" w:cs="Times New Roman"/>
          <w:sz w:val="28"/>
          <w:szCs w:val="28"/>
        </w:rPr>
        <w:t>ya que,</w:t>
      </w:r>
      <w:r>
        <w:rPr>
          <w:rFonts w:ascii="Times New Roman" w:hAnsi="Times New Roman" w:cs="Times New Roman"/>
          <w:sz w:val="28"/>
          <w:szCs w:val="28"/>
        </w:rPr>
        <w:t xml:space="preserve"> por su propia materia, es totalmente incompatible, ya en la propia </w:t>
      </w:r>
      <w:r w:rsidRPr="002B4DE8">
        <w:rPr>
          <w:rFonts w:ascii="Times New Roman" w:hAnsi="Times New Roman" w:cs="Times New Roman"/>
          <w:sz w:val="28"/>
          <w:szCs w:val="28"/>
        </w:rPr>
        <w:t>Ley 19/2013, de 9 de diciembre, de transparencia, acceso a la información pública y buen gobiern</w:t>
      </w:r>
      <w:r>
        <w:rPr>
          <w:rFonts w:ascii="Times New Roman" w:hAnsi="Times New Roman" w:cs="Times New Roman"/>
          <w:sz w:val="28"/>
          <w:szCs w:val="28"/>
        </w:rPr>
        <w:t>o, en su exposición de motivos regula que:</w:t>
      </w:r>
    </w:p>
    <w:p w14:paraId="4EFB6484" w14:textId="77777777" w:rsidR="002B4DE8" w:rsidRPr="002B4DE8" w:rsidRDefault="002B4DE8" w:rsidP="002B4DE8">
      <w:pPr>
        <w:jc w:val="both"/>
        <w:rPr>
          <w:rFonts w:ascii="Times New Roman" w:hAnsi="Times New Roman" w:cs="Times New Roman"/>
          <w:i/>
          <w:iCs/>
          <w:sz w:val="28"/>
          <w:szCs w:val="28"/>
        </w:rPr>
      </w:pPr>
      <w:r w:rsidRPr="002B4DE8">
        <w:rPr>
          <w:rFonts w:ascii="Times New Roman" w:hAnsi="Times New Roman" w:cs="Times New Roman"/>
          <w:i/>
          <w:iCs/>
          <w:sz w:val="28"/>
          <w:szCs w:val="28"/>
        </w:rPr>
        <w:lastRenderedPageBreak/>
        <w:t>La transparencia, el acceso a la información pública y las normas de buen gobierno deben ser los ejes fundamentales de toda acción política. Sólo cuando la acción de los responsables públicos se somete a escrutinio, cuando los ciudadanos pueden conocer cómo se toman las decisiones que les afectan, cómo se manejan los fondos públicos o bajo qué criterios actúan nuestras instituciones podremos hablar del inicio de un proceso en el que los poderes públicos comienzan a responder a una sociedad que es crítica, exigente y que demanda participación de los poderes públicos.</w:t>
      </w:r>
    </w:p>
    <w:p w14:paraId="1D4BFC17" w14:textId="77777777" w:rsidR="002B4DE8" w:rsidRPr="002B4DE8" w:rsidRDefault="002B4DE8" w:rsidP="002B4DE8">
      <w:pPr>
        <w:jc w:val="both"/>
        <w:rPr>
          <w:rFonts w:ascii="Times New Roman" w:hAnsi="Times New Roman" w:cs="Times New Roman"/>
          <w:i/>
          <w:iCs/>
          <w:sz w:val="28"/>
          <w:szCs w:val="28"/>
        </w:rPr>
      </w:pPr>
    </w:p>
    <w:p w14:paraId="0712B38F" w14:textId="77777777" w:rsidR="002B4DE8" w:rsidRPr="002B4DE8" w:rsidRDefault="002B4DE8" w:rsidP="002B4DE8">
      <w:pPr>
        <w:jc w:val="both"/>
        <w:rPr>
          <w:rFonts w:ascii="Times New Roman" w:hAnsi="Times New Roman" w:cs="Times New Roman"/>
          <w:i/>
          <w:iCs/>
          <w:sz w:val="28"/>
          <w:szCs w:val="28"/>
        </w:rPr>
      </w:pPr>
      <w:r w:rsidRPr="002B4DE8">
        <w:rPr>
          <w:rFonts w:ascii="Times New Roman" w:hAnsi="Times New Roman" w:cs="Times New Roman"/>
          <w:i/>
          <w:iCs/>
          <w:sz w:val="28"/>
          <w:szCs w:val="28"/>
        </w:rPr>
        <w:t>Los países con mayores niveles en materia de transparencia y normas de buen gobierno cuentan con instituciones más fuertes, que favorecen el crecimiento económico y el desarrollo social. En estos países, los ciudadanos pueden juzgar mejor y con más criterio la capacidad de sus responsables públicos y decidir en consecuencia. Permitiendo una mejor fiscalización de la actividad pública se contribuye a la necesaria regeneración democrática, se promueve la eficiencia y eficacia del Estado y se favorece el crecimiento económico.</w:t>
      </w:r>
    </w:p>
    <w:p w14:paraId="737F2713" w14:textId="77777777" w:rsidR="002B4DE8" w:rsidRPr="002B4DE8" w:rsidRDefault="002B4DE8" w:rsidP="002B4DE8">
      <w:pPr>
        <w:jc w:val="both"/>
        <w:rPr>
          <w:rFonts w:ascii="Times New Roman" w:hAnsi="Times New Roman" w:cs="Times New Roman"/>
          <w:i/>
          <w:iCs/>
          <w:sz w:val="28"/>
          <w:szCs w:val="28"/>
        </w:rPr>
      </w:pPr>
    </w:p>
    <w:p w14:paraId="700AF198" w14:textId="77777777" w:rsidR="002B4DE8" w:rsidRPr="002B4DE8" w:rsidRDefault="002B4DE8" w:rsidP="002B4DE8">
      <w:pPr>
        <w:jc w:val="both"/>
        <w:rPr>
          <w:rFonts w:ascii="Times New Roman" w:hAnsi="Times New Roman" w:cs="Times New Roman"/>
          <w:i/>
          <w:iCs/>
          <w:sz w:val="28"/>
          <w:szCs w:val="28"/>
        </w:rPr>
      </w:pPr>
      <w:r w:rsidRPr="002B4DE8">
        <w:rPr>
          <w:rFonts w:ascii="Times New Roman" w:hAnsi="Times New Roman" w:cs="Times New Roman"/>
          <w:i/>
          <w:iCs/>
          <w:sz w:val="28"/>
          <w:szCs w:val="28"/>
        </w:rPr>
        <w:t>La presente Ley tiene un triple alcance: incrementa y refuerza la transparencia en la actividad pública –que se articula a través de obligaciones de publicidad activa para todas las Administraciones y entidades públicas–, reconoce y garantiza el acceso a la información –regulado como un derecho de amplio ámbito subjetivo y objetivo– y establece las obligaciones de buen gobierno que deben cumplir los responsables públicos así como las consecuencias jurídicas derivadas de su incumplimiento –lo que se convierte en una exigencia de responsabilidad para todos los que desarrollan actividades de relevancia pública–.</w:t>
      </w:r>
    </w:p>
    <w:p w14:paraId="6EE3516C" w14:textId="77777777" w:rsidR="002B4DE8" w:rsidRPr="002B4DE8" w:rsidRDefault="002B4DE8" w:rsidP="002B4DE8">
      <w:pPr>
        <w:jc w:val="both"/>
        <w:rPr>
          <w:rFonts w:ascii="Times New Roman" w:hAnsi="Times New Roman" w:cs="Times New Roman"/>
          <w:i/>
          <w:iCs/>
          <w:sz w:val="28"/>
          <w:szCs w:val="28"/>
        </w:rPr>
      </w:pPr>
    </w:p>
    <w:p w14:paraId="1AB83A54" w14:textId="2224ACC9" w:rsidR="002B4DE8" w:rsidRDefault="002B4DE8" w:rsidP="002B4DE8">
      <w:pPr>
        <w:jc w:val="both"/>
        <w:rPr>
          <w:rFonts w:ascii="Times New Roman" w:hAnsi="Times New Roman" w:cs="Times New Roman"/>
          <w:i/>
          <w:iCs/>
          <w:sz w:val="28"/>
          <w:szCs w:val="28"/>
        </w:rPr>
      </w:pPr>
      <w:r w:rsidRPr="002B4DE8">
        <w:rPr>
          <w:rFonts w:ascii="Times New Roman" w:hAnsi="Times New Roman" w:cs="Times New Roman"/>
          <w:i/>
          <w:iCs/>
          <w:sz w:val="28"/>
          <w:szCs w:val="28"/>
        </w:rPr>
        <w:t>En estas tres vertientes, la Ley supone un importante avance en la materia y establece unos estándares homologables al del resto de democracias consolidadas. En definitiva, constituye un paso fundamental y necesario que se verá acompañado en el futuro con el impulso y adhesión por parte del Estado tanto a iniciativas multilaterales en este ámbito como con la firma de los instrumentos internacionales ya existentes en esta materia.</w:t>
      </w:r>
    </w:p>
    <w:p w14:paraId="29F3035D" w14:textId="48593411" w:rsidR="002B4DE8" w:rsidRDefault="002B4DE8" w:rsidP="002B4DE8">
      <w:pPr>
        <w:jc w:val="both"/>
        <w:rPr>
          <w:rFonts w:ascii="Times New Roman" w:hAnsi="Times New Roman" w:cs="Times New Roman"/>
          <w:sz w:val="28"/>
          <w:szCs w:val="28"/>
        </w:rPr>
      </w:pPr>
      <w:r>
        <w:rPr>
          <w:rFonts w:ascii="Times New Roman" w:hAnsi="Times New Roman" w:cs="Times New Roman"/>
          <w:sz w:val="28"/>
          <w:szCs w:val="28"/>
        </w:rPr>
        <w:t>Tres vertientes que tienen sus límites, y uno de ellos, es la Seguridad Nacional</w:t>
      </w:r>
      <w:r w:rsidR="00E873A1">
        <w:rPr>
          <w:rFonts w:ascii="Times New Roman" w:hAnsi="Times New Roman" w:cs="Times New Roman"/>
          <w:sz w:val="28"/>
          <w:szCs w:val="28"/>
        </w:rPr>
        <w:t xml:space="preserve">, junto con la vigente </w:t>
      </w:r>
      <w:r w:rsidR="00E873A1" w:rsidRPr="00E873A1">
        <w:rPr>
          <w:rFonts w:ascii="Times New Roman" w:hAnsi="Times New Roman" w:cs="Times New Roman"/>
          <w:sz w:val="28"/>
          <w:szCs w:val="28"/>
        </w:rPr>
        <w:t>Ley 9/1968, de 5 de abril, sobre secretos oficiales</w:t>
      </w:r>
      <w:r w:rsidR="00E873A1">
        <w:rPr>
          <w:rFonts w:ascii="Times New Roman" w:hAnsi="Times New Roman" w:cs="Times New Roman"/>
          <w:sz w:val="28"/>
          <w:szCs w:val="28"/>
        </w:rPr>
        <w:t xml:space="preserve">, así las cosas en el </w:t>
      </w:r>
      <w:r w:rsidR="00E873A1" w:rsidRPr="00E873A1">
        <w:rPr>
          <w:rFonts w:ascii="Times New Roman" w:hAnsi="Times New Roman" w:cs="Times New Roman"/>
          <w:sz w:val="28"/>
          <w:szCs w:val="28"/>
        </w:rPr>
        <w:t xml:space="preserve">Acuerdo del Consejo de Ministros de 28 de </w:t>
      </w:r>
      <w:r w:rsidR="00E873A1" w:rsidRPr="00E873A1">
        <w:rPr>
          <w:rFonts w:ascii="Times New Roman" w:hAnsi="Times New Roman" w:cs="Times New Roman"/>
          <w:sz w:val="28"/>
          <w:szCs w:val="28"/>
        </w:rPr>
        <w:lastRenderedPageBreak/>
        <w:t>noviembre de 1986, por el que se clasifican determinados asuntos y materias con arreglo a la Ley de Secretos Oficiales, establece en su Acuerdo Primero que se otorga, con carácter genérico, la clasificación de SECRETO a la estructura, organización, medios y procedimientos operativos específicos de los servicios de información, así como sus fuentes y cuantas informaciones o datos puedan revelarlas</w:t>
      </w:r>
      <w:r w:rsidR="00E873A1">
        <w:rPr>
          <w:rFonts w:ascii="Times New Roman" w:hAnsi="Times New Roman" w:cs="Times New Roman"/>
          <w:sz w:val="28"/>
          <w:szCs w:val="28"/>
        </w:rPr>
        <w:t>.</w:t>
      </w:r>
    </w:p>
    <w:p w14:paraId="30901219" w14:textId="2956BD18" w:rsidR="00E873A1" w:rsidRDefault="00E873A1" w:rsidP="002B4DE8">
      <w:pPr>
        <w:jc w:val="both"/>
        <w:rPr>
          <w:rFonts w:ascii="Times New Roman" w:hAnsi="Times New Roman" w:cs="Times New Roman"/>
          <w:sz w:val="28"/>
          <w:szCs w:val="28"/>
        </w:rPr>
      </w:pPr>
      <w:r>
        <w:rPr>
          <w:rFonts w:ascii="Times New Roman" w:hAnsi="Times New Roman" w:cs="Times New Roman"/>
          <w:sz w:val="28"/>
          <w:szCs w:val="28"/>
        </w:rPr>
        <w:t>Y por ello no se pueden t</w:t>
      </w:r>
      <w:r w:rsidR="00B64FD3">
        <w:rPr>
          <w:rFonts w:ascii="Times New Roman" w:hAnsi="Times New Roman" w:cs="Times New Roman"/>
          <w:sz w:val="28"/>
          <w:szCs w:val="28"/>
        </w:rPr>
        <w:t>raer a colación dichos informes, ya que conforme al art. 133 de la Ley 39/2015, es imposible que “</w:t>
      </w:r>
      <w:r w:rsidR="00B64FD3" w:rsidRPr="00B64FD3">
        <w:rPr>
          <w:rFonts w:ascii="Times New Roman" w:hAnsi="Times New Roman" w:cs="Times New Roman"/>
          <w:i/>
          <w:iCs/>
          <w:sz w:val="28"/>
          <w:szCs w:val="28"/>
        </w:rPr>
        <w:t>realicen aportaciones sobre ella tengan la posibilidad de emitir su opinión, para lo cual deberán ponerse a su disposición los documentos necesarios, que serán claros, concisos y reunir toda la información precisa para poder pronunciarse sobre la materia</w:t>
      </w:r>
      <w:r w:rsidR="00B64FD3">
        <w:rPr>
          <w:rFonts w:ascii="Times New Roman" w:hAnsi="Times New Roman" w:cs="Times New Roman"/>
          <w:sz w:val="28"/>
          <w:szCs w:val="28"/>
        </w:rPr>
        <w:t>”</w:t>
      </w:r>
    </w:p>
    <w:p w14:paraId="6074C819" w14:textId="13ED825C" w:rsidR="00B64FD3" w:rsidRDefault="00B64FD3" w:rsidP="002B4DE8">
      <w:pPr>
        <w:jc w:val="both"/>
        <w:rPr>
          <w:rFonts w:ascii="Times New Roman" w:hAnsi="Times New Roman" w:cs="Times New Roman"/>
          <w:sz w:val="28"/>
          <w:szCs w:val="28"/>
        </w:rPr>
      </w:pPr>
      <w:r>
        <w:rPr>
          <w:rFonts w:ascii="Times New Roman" w:hAnsi="Times New Roman" w:cs="Times New Roman"/>
          <w:sz w:val="28"/>
          <w:szCs w:val="28"/>
        </w:rPr>
        <w:t>En el caso de la materia organizativa y experiencia</w:t>
      </w:r>
      <w:r w:rsidR="00774121">
        <w:rPr>
          <w:rFonts w:ascii="Times New Roman" w:hAnsi="Times New Roman" w:cs="Times New Roman"/>
          <w:sz w:val="28"/>
          <w:szCs w:val="28"/>
        </w:rPr>
        <w:t xml:space="preserve"> con el reglamento</w:t>
      </w:r>
      <w:r>
        <w:rPr>
          <w:rFonts w:ascii="Times New Roman" w:hAnsi="Times New Roman" w:cs="Times New Roman"/>
          <w:sz w:val="28"/>
          <w:szCs w:val="28"/>
        </w:rPr>
        <w:t xml:space="preserve">, tampoco se ha aportado información o documentación alguna, por lo </w:t>
      </w:r>
      <w:r w:rsidR="00524433">
        <w:rPr>
          <w:rFonts w:ascii="Times New Roman" w:hAnsi="Times New Roman" w:cs="Times New Roman"/>
          <w:sz w:val="28"/>
          <w:szCs w:val="28"/>
        </w:rPr>
        <w:t>que,</w:t>
      </w:r>
      <w:r>
        <w:rPr>
          <w:rFonts w:ascii="Times New Roman" w:hAnsi="Times New Roman" w:cs="Times New Roman"/>
          <w:sz w:val="28"/>
          <w:szCs w:val="28"/>
        </w:rPr>
        <w:t xml:space="preserve"> en este caso por ausencia, no se puede alegar nada por no haber sido aportado documentación ni información precisa para poder alegar</w:t>
      </w:r>
      <w:r w:rsidR="00774121">
        <w:rPr>
          <w:rFonts w:ascii="Times New Roman" w:hAnsi="Times New Roman" w:cs="Times New Roman"/>
          <w:sz w:val="28"/>
          <w:szCs w:val="28"/>
        </w:rPr>
        <w:t xml:space="preserve"> en condiciones, tal y como remarca la normativa aplicable.</w:t>
      </w:r>
    </w:p>
    <w:p w14:paraId="05B39009" w14:textId="7C74ED66" w:rsidR="00774121" w:rsidRDefault="00524433" w:rsidP="002B4DE8">
      <w:pPr>
        <w:jc w:val="both"/>
        <w:rPr>
          <w:rFonts w:ascii="Times New Roman" w:hAnsi="Times New Roman" w:cs="Times New Roman"/>
          <w:sz w:val="28"/>
          <w:szCs w:val="28"/>
        </w:rPr>
      </w:pPr>
      <w:r>
        <w:rPr>
          <w:rFonts w:ascii="Times New Roman" w:hAnsi="Times New Roman" w:cs="Times New Roman"/>
          <w:sz w:val="28"/>
          <w:szCs w:val="28"/>
        </w:rPr>
        <w:t>TERCERA. -</w:t>
      </w:r>
      <w:r w:rsidR="00774121">
        <w:rPr>
          <w:rFonts w:ascii="Times New Roman" w:hAnsi="Times New Roman" w:cs="Times New Roman"/>
          <w:sz w:val="28"/>
          <w:szCs w:val="28"/>
        </w:rPr>
        <w:t xml:space="preserve"> Batiburrillo </w:t>
      </w:r>
      <w:r w:rsidR="00774121" w:rsidRPr="00774121">
        <w:rPr>
          <w:rFonts w:ascii="Times New Roman" w:hAnsi="Times New Roman" w:cs="Times New Roman"/>
          <w:sz w:val="28"/>
          <w:szCs w:val="28"/>
        </w:rPr>
        <w:t>ómnibus</w:t>
      </w:r>
      <w:r w:rsidR="00280C24">
        <w:rPr>
          <w:rFonts w:ascii="Times New Roman" w:hAnsi="Times New Roman" w:cs="Times New Roman"/>
          <w:sz w:val="28"/>
          <w:szCs w:val="28"/>
        </w:rPr>
        <w:t xml:space="preserve">, y que, dicho sea de paso, absolutamente nada tiene que ver con la Transposición de </w:t>
      </w:r>
      <w:r>
        <w:rPr>
          <w:rFonts w:ascii="Times New Roman" w:hAnsi="Times New Roman" w:cs="Times New Roman"/>
          <w:sz w:val="28"/>
          <w:szCs w:val="28"/>
        </w:rPr>
        <w:t>la Directiva</w:t>
      </w:r>
      <w:r w:rsidR="00280C24">
        <w:rPr>
          <w:rFonts w:ascii="Times New Roman" w:hAnsi="Times New Roman" w:cs="Times New Roman"/>
          <w:sz w:val="28"/>
          <w:szCs w:val="28"/>
        </w:rPr>
        <w:t xml:space="preserve"> 2021/555, de la Unión, al derecho Nacional.</w:t>
      </w:r>
    </w:p>
    <w:p w14:paraId="1837E743" w14:textId="04DF4DAD" w:rsidR="00774121" w:rsidRPr="00774121" w:rsidRDefault="00774121" w:rsidP="00E63B9C">
      <w:pPr>
        <w:shd w:val="clear" w:color="auto" w:fill="D4D4D4"/>
        <w:jc w:val="both"/>
        <w:rPr>
          <w:rFonts w:ascii="Times New Roman" w:hAnsi="Times New Roman" w:cs="Times New Roman"/>
          <w:sz w:val="28"/>
          <w:szCs w:val="28"/>
        </w:rPr>
      </w:pPr>
      <w:r w:rsidRPr="00774121">
        <w:rPr>
          <w:rFonts w:ascii="Times New Roman" w:hAnsi="Times New Roman" w:cs="Times New Roman"/>
          <w:i/>
          <w:iCs/>
          <w:sz w:val="28"/>
          <w:szCs w:val="28"/>
        </w:rPr>
        <w:t>Se aprovecha este real decreto para incluir modificaciones que pueden agruparse en cuatro bloques.</w:t>
      </w:r>
    </w:p>
    <w:p w14:paraId="0AFC29C8" w14:textId="06DBA511" w:rsidR="00774121" w:rsidRDefault="00774121" w:rsidP="00E63B9C">
      <w:pPr>
        <w:shd w:val="clear" w:color="auto" w:fill="D4D4D4"/>
        <w:jc w:val="both"/>
        <w:rPr>
          <w:rFonts w:ascii="Times New Roman" w:hAnsi="Times New Roman" w:cs="Times New Roman"/>
          <w:i/>
          <w:iCs/>
          <w:sz w:val="28"/>
          <w:szCs w:val="28"/>
        </w:rPr>
      </w:pPr>
      <w:r w:rsidRPr="00774121">
        <w:rPr>
          <w:rFonts w:ascii="Times New Roman" w:hAnsi="Times New Roman" w:cs="Times New Roman"/>
          <w:i/>
          <w:iCs/>
          <w:sz w:val="28"/>
          <w:szCs w:val="28"/>
        </w:rPr>
        <w:t xml:space="preserve">El primer bloque pretende completar el ajuste entre competencias y órganos iniciado con el Real Decreto 726/2020, dotando de la coherencia necesaria al conjunto de licencias y autorizaciones que permiten adquirir y usar las armas de fuego. Así, la competencia para conocer de las solicitudes de las licencias de armas que permiten la adquisición y el uso de las armas de caza por menores, de avancarga y de otras autorizaciones es conferida al mismo órgano al que ya se atribuyeron en 2020 las licencias de armas, C, D y E, las Jefaturas de Comandancia de la Guardia Civil, zanjando así la anómala situación de que unas competencias eran conferidas directamente por el Reglamento de Armas y otras lo habían sido por delegación. </w:t>
      </w:r>
    </w:p>
    <w:p w14:paraId="546D8933" w14:textId="0993644B" w:rsidR="00280C24" w:rsidRDefault="00280C24" w:rsidP="00D75F88">
      <w:pPr>
        <w:jc w:val="both"/>
        <w:rPr>
          <w:rFonts w:ascii="Times New Roman" w:hAnsi="Times New Roman" w:cs="Times New Roman"/>
          <w:sz w:val="28"/>
          <w:szCs w:val="28"/>
        </w:rPr>
      </w:pPr>
      <w:r>
        <w:rPr>
          <w:rFonts w:ascii="Times New Roman" w:hAnsi="Times New Roman" w:cs="Times New Roman"/>
          <w:sz w:val="28"/>
          <w:szCs w:val="28"/>
        </w:rPr>
        <w:t xml:space="preserve">Vaya por delante que esto es un Proyecto para Transponer una Directiva Europea, al ordenamiento Jurídico del Territorio Español, y estas cuestiones son total y absolutamente ajenas a la directiva, por lo </w:t>
      </w:r>
      <w:r w:rsidR="00524433">
        <w:rPr>
          <w:rFonts w:ascii="Times New Roman" w:hAnsi="Times New Roman" w:cs="Times New Roman"/>
          <w:sz w:val="28"/>
          <w:szCs w:val="28"/>
        </w:rPr>
        <w:t>tanto,</w:t>
      </w:r>
      <w:r>
        <w:rPr>
          <w:rFonts w:ascii="Times New Roman" w:hAnsi="Times New Roman" w:cs="Times New Roman"/>
          <w:sz w:val="28"/>
          <w:szCs w:val="28"/>
        </w:rPr>
        <w:t xml:space="preserve"> no cumplen los requisitos del art. 133 de la Ley 39/2015 de 1 de </w:t>
      </w:r>
      <w:r w:rsidR="00524433">
        <w:rPr>
          <w:rFonts w:ascii="Times New Roman" w:hAnsi="Times New Roman" w:cs="Times New Roman"/>
          <w:sz w:val="28"/>
          <w:szCs w:val="28"/>
        </w:rPr>
        <w:t>octubre</w:t>
      </w:r>
      <w:r>
        <w:rPr>
          <w:rFonts w:ascii="Times New Roman" w:hAnsi="Times New Roman" w:cs="Times New Roman"/>
          <w:sz w:val="28"/>
          <w:szCs w:val="28"/>
        </w:rPr>
        <w:t xml:space="preserve"> ni tampoco del art. </w:t>
      </w:r>
      <w:r>
        <w:rPr>
          <w:rFonts w:ascii="Times New Roman" w:hAnsi="Times New Roman" w:cs="Times New Roman"/>
          <w:sz w:val="28"/>
          <w:szCs w:val="28"/>
        </w:rPr>
        <w:lastRenderedPageBreak/>
        <w:t>26 de la Ley de Gobierno, ni son los que motivan la misiva de la Institución Europea al Reino de España.</w:t>
      </w:r>
    </w:p>
    <w:p w14:paraId="557C865A" w14:textId="7ECE8913" w:rsidR="00D75F88" w:rsidRDefault="00D75F88" w:rsidP="00D75F88">
      <w:pPr>
        <w:jc w:val="both"/>
        <w:rPr>
          <w:rFonts w:ascii="Times New Roman" w:hAnsi="Times New Roman" w:cs="Times New Roman"/>
          <w:sz w:val="28"/>
          <w:szCs w:val="28"/>
        </w:rPr>
      </w:pPr>
      <w:r>
        <w:rPr>
          <w:rFonts w:ascii="Times New Roman" w:hAnsi="Times New Roman" w:cs="Times New Roman"/>
          <w:sz w:val="28"/>
          <w:szCs w:val="28"/>
        </w:rPr>
        <w:t>Sin perjuicio de que a priori parece un acierto el unificar las competencias existentes para conceder o denegar las autorizaciones, es necesario conocer estadísticamente la situación hasta la entrada en vigor del Real Decreto 726/2020, y la situación posterior hasta la presente, para conocer si se han agilizado los tiempos, de cara al administrado, si se ha reducido la carga de trabajo para la administración actuante, que es la esencia de este proyecto, recordando los puntos sobre los que debe de pasar una consulta pública:</w:t>
      </w:r>
    </w:p>
    <w:p w14:paraId="253AFF71" w14:textId="77777777" w:rsidR="00D75F88" w:rsidRPr="00D75F88" w:rsidRDefault="00D75F88" w:rsidP="00D75F88">
      <w:pPr>
        <w:spacing w:after="0" w:line="276" w:lineRule="auto"/>
        <w:jc w:val="both"/>
        <w:rPr>
          <w:rFonts w:ascii="Times New Roman" w:hAnsi="Times New Roman" w:cs="Times New Roman"/>
          <w:sz w:val="28"/>
          <w:szCs w:val="28"/>
        </w:rPr>
      </w:pPr>
      <w:r w:rsidRPr="00D75F88">
        <w:rPr>
          <w:rFonts w:ascii="Times New Roman" w:hAnsi="Times New Roman" w:cs="Times New Roman"/>
          <w:sz w:val="28"/>
          <w:szCs w:val="28"/>
        </w:rPr>
        <w:t>a) Los problemas que se pretenden solucionar con la iniciativa.</w:t>
      </w:r>
    </w:p>
    <w:p w14:paraId="6366563C" w14:textId="77777777" w:rsidR="00D75F88" w:rsidRPr="00D75F88" w:rsidRDefault="00D75F88" w:rsidP="00D75F88">
      <w:pPr>
        <w:spacing w:after="0" w:line="276" w:lineRule="auto"/>
        <w:jc w:val="both"/>
        <w:rPr>
          <w:rFonts w:ascii="Times New Roman" w:hAnsi="Times New Roman" w:cs="Times New Roman"/>
          <w:sz w:val="28"/>
          <w:szCs w:val="28"/>
        </w:rPr>
      </w:pPr>
    </w:p>
    <w:p w14:paraId="680720DF" w14:textId="77777777" w:rsidR="00D75F88" w:rsidRPr="00D75F88" w:rsidRDefault="00D75F88" w:rsidP="00D75F88">
      <w:pPr>
        <w:spacing w:after="0" w:line="276" w:lineRule="auto"/>
        <w:jc w:val="both"/>
        <w:rPr>
          <w:rFonts w:ascii="Times New Roman" w:hAnsi="Times New Roman" w:cs="Times New Roman"/>
          <w:sz w:val="28"/>
          <w:szCs w:val="28"/>
        </w:rPr>
      </w:pPr>
      <w:r w:rsidRPr="00D75F88">
        <w:rPr>
          <w:rFonts w:ascii="Times New Roman" w:hAnsi="Times New Roman" w:cs="Times New Roman"/>
          <w:sz w:val="28"/>
          <w:szCs w:val="28"/>
        </w:rPr>
        <w:t>b) La necesidad y oportunidad de su aprobación.</w:t>
      </w:r>
    </w:p>
    <w:p w14:paraId="74850C7C" w14:textId="77777777" w:rsidR="00D75F88" w:rsidRPr="00D75F88" w:rsidRDefault="00D75F88" w:rsidP="00D75F88">
      <w:pPr>
        <w:spacing w:after="0" w:line="276" w:lineRule="auto"/>
        <w:jc w:val="both"/>
        <w:rPr>
          <w:rFonts w:ascii="Times New Roman" w:hAnsi="Times New Roman" w:cs="Times New Roman"/>
          <w:sz w:val="28"/>
          <w:szCs w:val="28"/>
        </w:rPr>
      </w:pPr>
    </w:p>
    <w:p w14:paraId="2F3CEC75" w14:textId="77777777" w:rsidR="00D75F88" w:rsidRPr="00D75F88" w:rsidRDefault="00D75F88" w:rsidP="00D75F88">
      <w:pPr>
        <w:spacing w:after="0" w:line="276" w:lineRule="auto"/>
        <w:jc w:val="both"/>
        <w:rPr>
          <w:rFonts w:ascii="Times New Roman" w:hAnsi="Times New Roman" w:cs="Times New Roman"/>
          <w:sz w:val="28"/>
          <w:szCs w:val="28"/>
        </w:rPr>
      </w:pPr>
      <w:r w:rsidRPr="00D75F88">
        <w:rPr>
          <w:rFonts w:ascii="Times New Roman" w:hAnsi="Times New Roman" w:cs="Times New Roman"/>
          <w:sz w:val="28"/>
          <w:szCs w:val="28"/>
        </w:rPr>
        <w:t>c) Los objetivos de la norma.</w:t>
      </w:r>
    </w:p>
    <w:p w14:paraId="4F47FE46" w14:textId="77777777" w:rsidR="00D75F88" w:rsidRPr="00D75F88" w:rsidRDefault="00D75F88" w:rsidP="00D75F88">
      <w:pPr>
        <w:spacing w:after="0" w:line="276" w:lineRule="auto"/>
        <w:jc w:val="both"/>
        <w:rPr>
          <w:rFonts w:ascii="Times New Roman" w:hAnsi="Times New Roman" w:cs="Times New Roman"/>
          <w:sz w:val="28"/>
          <w:szCs w:val="28"/>
        </w:rPr>
      </w:pPr>
    </w:p>
    <w:p w14:paraId="6B7DD5B6" w14:textId="17F29EFF" w:rsidR="00D75F88" w:rsidRPr="00D75F88" w:rsidRDefault="00D75F88" w:rsidP="00D75F88">
      <w:pPr>
        <w:jc w:val="both"/>
        <w:rPr>
          <w:rFonts w:ascii="Times New Roman" w:hAnsi="Times New Roman" w:cs="Times New Roman"/>
          <w:sz w:val="28"/>
          <w:szCs w:val="28"/>
        </w:rPr>
      </w:pPr>
      <w:r w:rsidRPr="00D75F88">
        <w:rPr>
          <w:rFonts w:ascii="Times New Roman" w:hAnsi="Times New Roman" w:cs="Times New Roman"/>
          <w:sz w:val="28"/>
          <w:szCs w:val="28"/>
        </w:rPr>
        <w:t>d) Las posibles soluciones alternativas regulatorias y no regulatorias.</w:t>
      </w:r>
    </w:p>
    <w:p w14:paraId="371A85B1" w14:textId="262AF734" w:rsidR="00774121" w:rsidRDefault="00774121" w:rsidP="00E63B9C">
      <w:pPr>
        <w:shd w:val="clear" w:color="auto" w:fill="D4D4D4"/>
        <w:jc w:val="both"/>
        <w:rPr>
          <w:rFonts w:ascii="Times New Roman" w:hAnsi="Times New Roman" w:cs="Times New Roman"/>
          <w:i/>
          <w:iCs/>
          <w:sz w:val="28"/>
          <w:szCs w:val="28"/>
        </w:rPr>
      </w:pPr>
      <w:r w:rsidRPr="00774121">
        <w:rPr>
          <w:rFonts w:ascii="Times New Roman" w:hAnsi="Times New Roman" w:cs="Times New Roman"/>
          <w:i/>
          <w:iCs/>
          <w:sz w:val="28"/>
          <w:szCs w:val="28"/>
        </w:rPr>
        <w:t>Ello permitirá que todos los actos administrativos que se dicten y resoluciones que se adopten por estos órganos deban ser examinadas nuevamente por la Administración en virtud del principio de segunda instancia antes de dar acceso a la jurisdicción contencioso</w:t>
      </w:r>
      <w:r>
        <w:rPr>
          <w:rFonts w:ascii="Times New Roman" w:hAnsi="Times New Roman" w:cs="Times New Roman"/>
          <w:i/>
          <w:iCs/>
          <w:sz w:val="28"/>
          <w:szCs w:val="28"/>
        </w:rPr>
        <w:t xml:space="preserve"> </w:t>
      </w:r>
      <w:r w:rsidRPr="00774121">
        <w:rPr>
          <w:rFonts w:ascii="Times New Roman" w:hAnsi="Times New Roman" w:cs="Times New Roman"/>
          <w:i/>
          <w:iCs/>
          <w:sz w:val="28"/>
          <w:szCs w:val="28"/>
        </w:rPr>
        <w:t>administrativa, evitando así que algunos actos deban ser revisados por el superior jerárquico y otros puedan serlo sólo si el interesado acude al recurso potestativo de reposición. De ahí la exigencia de la derogación Disposición Final primera del citado Real Decreto 726/2020 y su ubicación en otra Disposición Final del real decreto que se contempla publicar.</w:t>
      </w:r>
    </w:p>
    <w:p w14:paraId="4C09EDA5" w14:textId="7F88F49C" w:rsidR="009A5A55" w:rsidRDefault="009A5A55" w:rsidP="002B4DE8">
      <w:pPr>
        <w:jc w:val="both"/>
        <w:rPr>
          <w:rFonts w:ascii="Times New Roman" w:hAnsi="Times New Roman" w:cs="Times New Roman"/>
          <w:sz w:val="28"/>
          <w:szCs w:val="28"/>
        </w:rPr>
      </w:pPr>
      <w:r>
        <w:rPr>
          <w:rFonts w:ascii="Times New Roman" w:hAnsi="Times New Roman" w:cs="Times New Roman"/>
          <w:sz w:val="28"/>
          <w:szCs w:val="28"/>
        </w:rPr>
        <w:t>El régimen de recursos viene establecido por la Ley 39/2015 de 1 de Octubre, y no puede ni debe de ser alterado o “corregido” por una norma de potestad reglamentaria, ya que precisamente una base del ordenamiento jurídico es la Jerarquía Normativa, principio que viene consagrado en el art. 9.3 de la Constitución Española, que se debe respetar sin existir excepción alguna.</w:t>
      </w:r>
    </w:p>
    <w:p w14:paraId="27A17F16" w14:textId="734FF022" w:rsidR="009A5A55" w:rsidRDefault="009A5A55" w:rsidP="002B4DE8">
      <w:pPr>
        <w:jc w:val="both"/>
        <w:rPr>
          <w:rFonts w:ascii="Times New Roman" w:hAnsi="Times New Roman" w:cs="Times New Roman"/>
          <w:sz w:val="28"/>
          <w:szCs w:val="28"/>
        </w:rPr>
      </w:pPr>
      <w:r>
        <w:rPr>
          <w:rFonts w:ascii="Times New Roman" w:hAnsi="Times New Roman" w:cs="Times New Roman"/>
          <w:sz w:val="28"/>
          <w:szCs w:val="28"/>
        </w:rPr>
        <w:t xml:space="preserve">Comentar también como alegación, que el recurso potestativo de </w:t>
      </w:r>
      <w:r w:rsidR="00524433">
        <w:rPr>
          <w:rFonts w:ascii="Times New Roman" w:hAnsi="Times New Roman" w:cs="Times New Roman"/>
          <w:sz w:val="28"/>
          <w:szCs w:val="28"/>
        </w:rPr>
        <w:t>reposición</w:t>
      </w:r>
      <w:r>
        <w:rPr>
          <w:rFonts w:ascii="Times New Roman" w:hAnsi="Times New Roman" w:cs="Times New Roman"/>
          <w:sz w:val="28"/>
          <w:szCs w:val="28"/>
        </w:rPr>
        <w:t xml:space="preserve"> es NO devolutivo, por lo tanto, es el mismo organismo que dictó la resolución que puso fin a la vía administrativa, que la revise.</w:t>
      </w:r>
    </w:p>
    <w:p w14:paraId="41732D2C" w14:textId="32E0A0AC" w:rsidR="009A5A55" w:rsidRDefault="009A5A55" w:rsidP="002B4DE8">
      <w:pPr>
        <w:jc w:val="both"/>
        <w:rPr>
          <w:rFonts w:ascii="Times New Roman" w:hAnsi="Times New Roman" w:cs="Times New Roman"/>
          <w:sz w:val="28"/>
          <w:szCs w:val="28"/>
        </w:rPr>
      </w:pPr>
      <w:r>
        <w:rPr>
          <w:rFonts w:ascii="Times New Roman" w:hAnsi="Times New Roman" w:cs="Times New Roman"/>
          <w:sz w:val="28"/>
          <w:szCs w:val="28"/>
        </w:rPr>
        <w:t xml:space="preserve">La “segunda instancia” es necesaria y la pregunta es más bien cómo se ha prescindido de la misma. Debería estar en el texto del Proyecto muy claro un sistema de disposición administrativa, resolución y recursos contra la misma, estableciendo la Segunda Instancia como algo necesario, así como las </w:t>
      </w:r>
      <w:r>
        <w:rPr>
          <w:rFonts w:ascii="Times New Roman" w:hAnsi="Times New Roman" w:cs="Times New Roman"/>
          <w:sz w:val="28"/>
          <w:szCs w:val="28"/>
        </w:rPr>
        <w:lastRenderedPageBreak/>
        <w:t xml:space="preserve">condiciones de acceso a la misma, los tiempos y la competencia para </w:t>
      </w:r>
      <w:r w:rsidR="00524433">
        <w:rPr>
          <w:rFonts w:ascii="Times New Roman" w:hAnsi="Times New Roman" w:cs="Times New Roman"/>
          <w:sz w:val="28"/>
          <w:szCs w:val="28"/>
        </w:rPr>
        <w:t>resolver,</w:t>
      </w:r>
      <w:r>
        <w:rPr>
          <w:rFonts w:ascii="Times New Roman" w:hAnsi="Times New Roman" w:cs="Times New Roman"/>
          <w:sz w:val="28"/>
          <w:szCs w:val="28"/>
        </w:rPr>
        <w:t xml:space="preserve"> así como los recursos sobre la misma.</w:t>
      </w:r>
    </w:p>
    <w:p w14:paraId="27B50270" w14:textId="798B4E82" w:rsidR="009A5A55" w:rsidRPr="00E63B9C" w:rsidRDefault="009A5A55" w:rsidP="00E63B9C">
      <w:pPr>
        <w:shd w:val="clear" w:color="auto" w:fill="D4D4D4"/>
        <w:jc w:val="both"/>
        <w:rPr>
          <w:rFonts w:ascii="Times New Roman" w:hAnsi="Times New Roman" w:cs="Times New Roman"/>
          <w:i/>
          <w:iCs/>
          <w:sz w:val="28"/>
          <w:szCs w:val="28"/>
        </w:rPr>
      </w:pPr>
      <w:r w:rsidRPr="00E63B9C">
        <w:rPr>
          <w:rFonts w:ascii="Times New Roman" w:hAnsi="Times New Roman" w:cs="Times New Roman"/>
          <w:i/>
          <w:iCs/>
          <w:sz w:val="28"/>
          <w:szCs w:val="28"/>
        </w:rPr>
        <w:t>Se aprovecha también para dejar sin contenido la Disposición Final única del Reglamento de Armas que, derogada tácitamente, establece el carácter negativo del silencio administrativo en el ámbito del mismo, lo que contradice lo dispuesto en el artículo 24 de la Ley 39/2015, del Procedimiento Administrativo Común de las Administraciones Púbicas, en relación con la Disposición adicional 29ª de la Ley 14/2000 de 29 de diciembre, de Medidas Fiscales, Administrativas y del Orden Social.</w:t>
      </w:r>
    </w:p>
    <w:p w14:paraId="5AB88D8F" w14:textId="77777777" w:rsidR="00E63B9C" w:rsidRDefault="00E63B9C" w:rsidP="002B4DE8">
      <w:pPr>
        <w:jc w:val="both"/>
        <w:rPr>
          <w:rFonts w:ascii="Times New Roman" w:hAnsi="Times New Roman" w:cs="Times New Roman"/>
          <w:sz w:val="28"/>
          <w:szCs w:val="28"/>
        </w:rPr>
      </w:pPr>
    </w:p>
    <w:p w14:paraId="52DE4EAE" w14:textId="0819E11F" w:rsidR="009A5A55" w:rsidRDefault="00E63B9C" w:rsidP="002B4DE8">
      <w:pPr>
        <w:jc w:val="both"/>
        <w:rPr>
          <w:rFonts w:ascii="Times New Roman" w:hAnsi="Times New Roman" w:cs="Times New Roman"/>
          <w:sz w:val="28"/>
          <w:szCs w:val="28"/>
        </w:rPr>
      </w:pPr>
      <w:r>
        <w:rPr>
          <w:rFonts w:ascii="Times New Roman" w:hAnsi="Times New Roman" w:cs="Times New Roman"/>
          <w:sz w:val="28"/>
          <w:szCs w:val="28"/>
        </w:rPr>
        <w:t>El artículo 128.2 de la Ley 39/2015 de 1 de Octubre regula que “</w:t>
      </w:r>
      <w:r w:rsidRPr="00E63B9C">
        <w:rPr>
          <w:rFonts w:ascii="Times New Roman" w:hAnsi="Times New Roman" w:cs="Times New Roman"/>
          <w:i/>
          <w:iCs/>
          <w:sz w:val="28"/>
          <w:szCs w:val="28"/>
        </w:rPr>
        <w:t>Los reglamentos y disposiciones administrativas no podrán vulnerar la Constitución o las leyes ni regular aquellas materias que la Constitución o los Estatutos de Autonomía reconocen de la competencia de las Cortes Generales o de las Asambleas Legislativas de las Comunidades Autónomas</w:t>
      </w:r>
      <w:r>
        <w:rPr>
          <w:rFonts w:ascii="Times New Roman" w:hAnsi="Times New Roman" w:cs="Times New Roman"/>
          <w:sz w:val="28"/>
          <w:szCs w:val="28"/>
        </w:rPr>
        <w:t>”</w:t>
      </w:r>
    </w:p>
    <w:p w14:paraId="03489672" w14:textId="12B90EC4" w:rsidR="00E63B9C" w:rsidRDefault="00E63B9C" w:rsidP="002B4DE8">
      <w:pPr>
        <w:jc w:val="both"/>
        <w:rPr>
          <w:rFonts w:ascii="Times New Roman" w:hAnsi="Times New Roman" w:cs="Times New Roman"/>
          <w:sz w:val="28"/>
          <w:szCs w:val="28"/>
        </w:rPr>
      </w:pPr>
      <w:r>
        <w:rPr>
          <w:rFonts w:ascii="Times New Roman" w:hAnsi="Times New Roman" w:cs="Times New Roman"/>
          <w:sz w:val="28"/>
          <w:szCs w:val="28"/>
        </w:rPr>
        <w:t xml:space="preserve">Nunca debió de existir en un Reglamento, una Disposición Contraria a una Ley, y no fue derogada tácitamente, sigue vigente en el </w:t>
      </w:r>
      <w:r w:rsidRPr="00E63B9C">
        <w:rPr>
          <w:rFonts w:ascii="Times New Roman" w:hAnsi="Times New Roman" w:cs="Times New Roman"/>
          <w:sz w:val="28"/>
          <w:szCs w:val="28"/>
        </w:rPr>
        <w:t>Real Decreto 137/1993, de 29 de enero, por el que se aprueba el Reglamento de Armas</w:t>
      </w:r>
      <w:r>
        <w:rPr>
          <w:rFonts w:ascii="Times New Roman" w:hAnsi="Times New Roman" w:cs="Times New Roman"/>
          <w:sz w:val="28"/>
          <w:szCs w:val="28"/>
        </w:rPr>
        <w:t>.</w:t>
      </w:r>
      <w:r w:rsidR="00742A7A">
        <w:rPr>
          <w:rFonts w:ascii="Times New Roman" w:hAnsi="Times New Roman" w:cs="Times New Roman"/>
          <w:sz w:val="28"/>
          <w:szCs w:val="28"/>
        </w:rPr>
        <w:t xml:space="preserve"> A tal efecto la administración actuante debería de elaborar un listado de pretensiones rechazadas ilícitamente que deberían de haber sido estimadas por silencio administrativo y no lo fueron, así como informar a los perjudicados y establecer un régimen de indemnizaciones por daños y perjuicios por la vulneración de sus derechos. Y depurar las responsabilidades pertinentes de la administración por actuar contra derecho, máxime siendo los garantes de la vigilancia de cumplimiento </w:t>
      </w:r>
      <w:r w:rsidR="00524433">
        <w:rPr>
          <w:rFonts w:ascii="Times New Roman" w:hAnsi="Times New Roman" w:cs="Times New Roman"/>
          <w:sz w:val="28"/>
          <w:szCs w:val="28"/>
        </w:rPr>
        <w:t>de este</w:t>
      </w:r>
      <w:r w:rsidR="00742A7A">
        <w:rPr>
          <w:rFonts w:ascii="Times New Roman" w:hAnsi="Times New Roman" w:cs="Times New Roman"/>
          <w:sz w:val="28"/>
          <w:szCs w:val="28"/>
        </w:rPr>
        <w:t>.</w:t>
      </w:r>
    </w:p>
    <w:p w14:paraId="2D03A579" w14:textId="4501E2F2" w:rsidR="00280C24" w:rsidRDefault="00280C24" w:rsidP="00742A7A">
      <w:pPr>
        <w:shd w:val="clear" w:color="auto" w:fill="A2A2A2"/>
        <w:jc w:val="both"/>
        <w:rPr>
          <w:rFonts w:ascii="Times New Roman" w:hAnsi="Times New Roman" w:cs="Times New Roman"/>
          <w:sz w:val="28"/>
          <w:szCs w:val="28"/>
        </w:rPr>
      </w:pPr>
      <w:r w:rsidRPr="00280C24">
        <w:rPr>
          <w:rFonts w:ascii="Times New Roman" w:hAnsi="Times New Roman" w:cs="Times New Roman"/>
          <w:sz w:val="28"/>
          <w:szCs w:val="28"/>
        </w:rPr>
        <w:t>Dentro de esta pretensión de coherencia en las autorizaciones, en la correspondiente disposición se quiere modificar el artículo 136 del Reglamento de artículos pirotécnicos y cartuchería, aprobado por el Real Decreto 989/2015, de 30 de octubre, para que todos los tipos de autorización de adquisición de cartuchería sean atribuidos al mismo órgano periférico de la Guardia Civil, las Intervenciones de Armas y Explosivos de Zona, transfiriendo los de la Intervención Central de Armas y Explosivos.</w:t>
      </w:r>
    </w:p>
    <w:p w14:paraId="634E92E2" w14:textId="43D6277E" w:rsidR="00742A7A" w:rsidRDefault="00280C24" w:rsidP="002B4DE8">
      <w:pPr>
        <w:jc w:val="both"/>
        <w:rPr>
          <w:rFonts w:ascii="Times New Roman" w:hAnsi="Times New Roman" w:cs="Times New Roman"/>
          <w:sz w:val="28"/>
          <w:szCs w:val="28"/>
        </w:rPr>
      </w:pPr>
      <w:r>
        <w:rPr>
          <w:rFonts w:ascii="Times New Roman" w:hAnsi="Times New Roman" w:cs="Times New Roman"/>
          <w:sz w:val="28"/>
          <w:szCs w:val="28"/>
        </w:rPr>
        <w:t xml:space="preserve">No es que esté fuera del ámbito de la Transposición, y de la comunicación Europea a nuestra </w:t>
      </w:r>
      <w:r w:rsidR="00524433">
        <w:rPr>
          <w:rFonts w:ascii="Times New Roman" w:hAnsi="Times New Roman" w:cs="Times New Roman"/>
          <w:sz w:val="28"/>
          <w:szCs w:val="28"/>
        </w:rPr>
        <w:t>Nación</w:t>
      </w:r>
      <w:r>
        <w:rPr>
          <w:rFonts w:ascii="Times New Roman" w:hAnsi="Times New Roman" w:cs="Times New Roman"/>
          <w:sz w:val="28"/>
          <w:szCs w:val="28"/>
        </w:rPr>
        <w:t xml:space="preserve">, es que ni siquiera se puede englobar este párrafo en una modificación del Reglamento de Armas, sino que se trata de una modificación </w:t>
      </w:r>
      <w:r w:rsidR="00742A7A">
        <w:rPr>
          <w:rFonts w:ascii="Times New Roman" w:hAnsi="Times New Roman" w:cs="Times New Roman"/>
          <w:sz w:val="28"/>
          <w:szCs w:val="28"/>
        </w:rPr>
        <w:t xml:space="preserve">en toda regla del </w:t>
      </w:r>
      <w:r w:rsidR="00742A7A" w:rsidRPr="00742A7A">
        <w:rPr>
          <w:rFonts w:ascii="Times New Roman" w:hAnsi="Times New Roman" w:cs="Times New Roman"/>
          <w:sz w:val="28"/>
          <w:szCs w:val="28"/>
        </w:rPr>
        <w:t>Real Decreto 989/2015, de 30 de octubre, por el que se aprueba el Reglamento de artículos pirotécnicos y cartuchería</w:t>
      </w:r>
      <w:r w:rsidR="00742A7A">
        <w:rPr>
          <w:rFonts w:ascii="Times New Roman" w:hAnsi="Times New Roman" w:cs="Times New Roman"/>
          <w:sz w:val="28"/>
          <w:szCs w:val="28"/>
        </w:rPr>
        <w:t xml:space="preserve">, </w:t>
      </w:r>
      <w:r w:rsidR="00742A7A">
        <w:rPr>
          <w:rFonts w:ascii="Times New Roman" w:hAnsi="Times New Roman" w:cs="Times New Roman"/>
          <w:sz w:val="28"/>
          <w:szCs w:val="28"/>
        </w:rPr>
        <w:lastRenderedPageBreak/>
        <w:t>motivo por el cual, habrá de realizarse un Anteproyecto y Consulta Pública pertinente para la presentación de alegaciones, ya que incluir esta disposición incumple de pleno los objetivos directos que supuestamente se están blandiendo para introducir una reforma.</w:t>
      </w:r>
    </w:p>
    <w:p w14:paraId="5B49C975" w14:textId="698C163B" w:rsidR="00742A7A" w:rsidRDefault="00742A7A" w:rsidP="006B5FEF">
      <w:pPr>
        <w:shd w:val="clear" w:color="auto" w:fill="A2A2A2"/>
        <w:jc w:val="both"/>
        <w:rPr>
          <w:rFonts w:ascii="Times New Roman" w:hAnsi="Times New Roman" w:cs="Times New Roman"/>
          <w:sz w:val="28"/>
          <w:szCs w:val="28"/>
        </w:rPr>
      </w:pPr>
      <w:r w:rsidRPr="00742A7A">
        <w:rPr>
          <w:rFonts w:ascii="Times New Roman" w:hAnsi="Times New Roman" w:cs="Times New Roman"/>
          <w:sz w:val="28"/>
          <w:szCs w:val="28"/>
        </w:rPr>
        <w:t>Dentro de este primer bloque también se atribuyen competencias a los nuevos órganos de la Guardia Civil recientemente creados. Así, la obligación de dar cuenta al Punto Focal Nacional de Armas por parte de toda autoridad o agente que decomise o intervenga armas de fuego y la facultad de la Jefatura de Armas, Explosivos y Seguridad de solicitar al Ministerio de Defensa los lugares de depósito de armas de guerra o de otras categorías cuando el número de armas depositadas en las dependencias de la Guardia Civil así lo aconseje.</w:t>
      </w:r>
    </w:p>
    <w:p w14:paraId="63737451" w14:textId="6A31FF30" w:rsidR="00742A7A" w:rsidRDefault="00742A7A" w:rsidP="002B4DE8">
      <w:pPr>
        <w:jc w:val="both"/>
        <w:rPr>
          <w:rFonts w:ascii="Times New Roman" w:hAnsi="Times New Roman" w:cs="Times New Roman"/>
          <w:sz w:val="28"/>
          <w:szCs w:val="28"/>
        </w:rPr>
      </w:pPr>
      <w:r>
        <w:rPr>
          <w:rFonts w:ascii="Times New Roman" w:hAnsi="Times New Roman" w:cs="Times New Roman"/>
          <w:sz w:val="28"/>
          <w:szCs w:val="28"/>
        </w:rPr>
        <w:t xml:space="preserve">Nada aduce la Directiva 2021/555, de la UE, sobre la </w:t>
      </w:r>
      <w:proofErr w:type="spellStart"/>
      <w:r>
        <w:rPr>
          <w:rFonts w:ascii="Times New Roman" w:hAnsi="Times New Roman" w:cs="Times New Roman"/>
          <w:sz w:val="28"/>
          <w:szCs w:val="28"/>
        </w:rPr>
        <w:t>decomisión</w:t>
      </w:r>
      <w:proofErr w:type="spellEnd"/>
      <w:r>
        <w:rPr>
          <w:rFonts w:ascii="Times New Roman" w:hAnsi="Times New Roman" w:cs="Times New Roman"/>
          <w:sz w:val="28"/>
          <w:szCs w:val="28"/>
        </w:rPr>
        <w:t xml:space="preserve"> o intervención de armas de fuego,</w:t>
      </w:r>
      <w:r w:rsidR="006B5FEF">
        <w:rPr>
          <w:rFonts w:ascii="Times New Roman" w:hAnsi="Times New Roman" w:cs="Times New Roman"/>
          <w:sz w:val="28"/>
          <w:szCs w:val="28"/>
        </w:rPr>
        <w:t xml:space="preserve"> del Punto Focal Nacional de Armas, ni de depósitos de guerra del Ministerio de Defensa ni del Ministerio del Interior,</w:t>
      </w:r>
      <w:r>
        <w:rPr>
          <w:rFonts w:ascii="Times New Roman" w:hAnsi="Times New Roman" w:cs="Times New Roman"/>
          <w:sz w:val="28"/>
          <w:szCs w:val="28"/>
        </w:rPr>
        <w:t xml:space="preserve"> y por lo tanto no es un objetivo que deba de modificar norma alguna, y de serlo, </w:t>
      </w:r>
      <w:r w:rsidR="006B5FEF">
        <w:rPr>
          <w:rFonts w:ascii="Times New Roman" w:hAnsi="Times New Roman" w:cs="Times New Roman"/>
          <w:sz w:val="28"/>
          <w:szCs w:val="28"/>
        </w:rPr>
        <w:t>no hay información o documentación alguna que permita tener conocimiento suficiente para presentar alegaciones, tal y como regula el art. 133 de la Ley 39/2015 de 1 de Octubre.</w:t>
      </w:r>
    </w:p>
    <w:p w14:paraId="57822186" w14:textId="089CEBEA" w:rsidR="00E63B9C" w:rsidRDefault="00E63B9C" w:rsidP="00E63B9C">
      <w:pPr>
        <w:shd w:val="clear" w:color="auto" w:fill="D4D4D4"/>
        <w:jc w:val="both"/>
        <w:rPr>
          <w:rFonts w:ascii="Times New Roman" w:hAnsi="Times New Roman" w:cs="Times New Roman"/>
          <w:i/>
          <w:iCs/>
          <w:sz w:val="28"/>
          <w:szCs w:val="28"/>
        </w:rPr>
      </w:pPr>
      <w:r w:rsidRPr="00E63B9C">
        <w:rPr>
          <w:rFonts w:ascii="Times New Roman" w:hAnsi="Times New Roman" w:cs="Times New Roman"/>
          <w:i/>
          <w:iCs/>
          <w:sz w:val="28"/>
          <w:szCs w:val="28"/>
        </w:rPr>
        <w:t xml:space="preserve">Por último, por lo que respecta a este primer bloque, se modifica el artículo que exige una Intervención de Armas y Explosivos por cada Compañía de la Guardia Civil, lo que impide una adecuada redistribución territorial de estas unidades especializadas en función de criterios de eficiencia.  </w:t>
      </w:r>
    </w:p>
    <w:p w14:paraId="689372D5" w14:textId="5BE40139" w:rsidR="00742A7A" w:rsidRDefault="00742A7A" w:rsidP="002B4DE8">
      <w:pPr>
        <w:jc w:val="both"/>
        <w:rPr>
          <w:rFonts w:ascii="Times New Roman" w:hAnsi="Times New Roman" w:cs="Times New Roman"/>
          <w:sz w:val="28"/>
          <w:szCs w:val="28"/>
        </w:rPr>
      </w:pPr>
      <w:r>
        <w:rPr>
          <w:rFonts w:ascii="Times New Roman" w:hAnsi="Times New Roman" w:cs="Times New Roman"/>
          <w:sz w:val="28"/>
          <w:szCs w:val="28"/>
        </w:rPr>
        <w:t>Teniendo en cuenta que la organización administrativa del Instituto Armado está fuera de lo peticionado por las Instituciones Europeas, tampoco cumple los objetivos de transposición, pese a ello se entra al fondo.</w:t>
      </w:r>
    </w:p>
    <w:p w14:paraId="06954315" w14:textId="2126CD01" w:rsidR="00E63B9C" w:rsidRDefault="00E63B9C" w:rsidP="002B4DE8">
      <w:pPr>
        <w:jc w:val="both"/>
        <w:rPr>
          <w:rFonts w:ascii="Times New Roman" w:hAnsi="Times New Roman" w:cs="Times New Roman"/>
          <w:sz w:val="28"/>
          <w:szCs w:val="28"/>
        </w:rPr>
      </w:pPr>
      <w:r>
        <w:rPr>
          <w:rFonts w:ascii="Times New Roman" w:hAnsi="Times New Roman" w:cs="Times New Roman"/>
          <w:sz w:val="28"/>
          <w:szCs w:val="28"/>
        </w:rPr>
        <w:t>El artículo 3.1 de la Ley 40/2015 de 1 de Octubre, de Régimen Jurídico del Sector Público, regula que:</w:t>
      </w:r>
    </w:p>
    <w:p w14:paraId="4D3A7008"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Artículo 3. Principios generales.</w:t>
      </w:r>
    </w:p>
    <w:p w14:paraId="55E8C37D" w14:textId="230B15DE"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1. Las Administraciones Públicas sirven con objetividad los intereses generales y actúan de acuerdo con los principios de eficacia, jerarquía, descentralización, desconcentración y coordinación, con sometimiento pleno a la Constitución, a la Ley y al Derecho.</w:t>
      </w:r>
    </w:p>
    <w:p w14:paraId="5DA0716B"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Deberán respetar en su actuación y relaciones los siguientes principios:</w:t>
      </w:r>
    </w:p>
    <w:p w14:paraId="6F2BFBFF"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a) Servicio efectivo a los ciudadanos.</w:t>
      </w:r>
    </w:p>
    <w:p w14:paraId="056F5595"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lastRenderedPageBreak/>
        <w:t>b) Simplicidad, claridad y proximidad a los ciudadanos.</w:t>
      </w:r>
    </w:p>
    <w:p w14:paraId="1B32F6FE"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c) Participación, objetividad y transparencia de la actuación administrativa.</w:t>
      </w:r>
    </w:p>
    <w:p w14:paraId="0D3A3B27"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d) Racionalización y agilidad de los procedimientos administrativos y de las actividades materiales de gestión.</w:t>
      </w:r>
    </w:p>
    <w:p w14:paraId="0DFC0895"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e) Buena fe, confianza legítima y lealtad institucional.</w:t>
      </w:r>
    </w:p>
    <w:p w14:paraId="18E20590"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f) Responsabilidad por la gestión pública.</w:t>
      </w:r>
    </w:p>
    <w:p w14:paraId="31FC1917"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g) Planificación y dirección por objetivos y control de la gestión y evaluación de los resultados de las políticas públicas.</w:t>
      </w:r>
    </w:p>
    <w:p w14:paraId="2F5B4E8A"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h) Eficacia en el cumplimiento de los objetivos fijados.</w:t>
      </w:r>
    </w:p>
    <w:p w14:paraId="5CE0CD09"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i) Economía, suficiencia y adecuación estricta de los medios a los fines institucionales.</w:t>
      </w:r>
    </w:p>
    <w:p w14:paraId="3726C85B" w14:textId="77777777" w:rsidR="00E63B9C" w:rsidRP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j) Eficiencia en la asignación y utilización de los recursos públicos.</w:t>
      </w:r>
    </w:p>
    <w:p w14:paraId="65E12F16" w14:textId="77777777" w:rsidR="00E63B9C" w:rsidRDefault="00E63B9C" w:rsidP="00E63B9C">
      <w:pPr>
        <w:jc w:val="both"/>
        <w:rPr>
          <w:rFonts w:ascii="Times New Roman" w:hAnsi="Times New Roman" w:cs="Times New Roman"/>
          <w:i/>
          <w:iCs/>
          <w:sz w:val="28"/>
          <w:szCs w:val="28"/>
        </w:rPr>
      </w:pPr>
      <w:r w:rsidRPr="00E63B9C">
        <w:rPr>
          <w:rFonts w:ascii="Times New Roman" w:hAnsi="Times New Roman" w:cs="Times New Roman"/>
          <w:i/>
          <w:iCs/>
          <w:sz w:val="28"/>
          <w:szCs w:val="28"/>
        </w:rPr>
        <w:t>k) Cooperación, colaboración y coordinación entre las Administraciones Públicas.</w:t>
      </w:r>
    </w:p>
    <w:p w14:paraId="456C2F88" w14:textId="15478948" w:rsidR="00E63B9C" w:rsidRDefault="00E63B9C" w:rsidP="00E63B9C">
      <w:pPr>
        <w:jc w:val="both"/>
        <w:rPr>
          <w:rFonts w:ascii="Times New Roman" w:hAnsi="Times New Roman" w:cs="Times New Roman"/>
          <w:sz w:val="28"/>
          <w:szCs w:val="28"/>
        </w:rPr>
      </w:pPr>
      <w:r>
        <w:rPr>
          <w:rFonts w:ascii="Times New Roman" w:hAnsi="Times New Roman" w:cs="Times New Roman"/>
          <w:sz w:val="28"/>
          <w:szCs w:val="28"/>
        </w:rPr>
        <w:t xml:space="preserve">Hasta la presente, el uso de las Comandancias de la Guardia Civil, han sido sin duda </w:t>
      </w:r>
      <w:r w:rsidR="002179CB">
        <w:rPr>
          <w:rFonts w:ascii="Times New Roman" w:hAnsi="Times New Roman" w:cs="Times New Roman"/>
          <w:sz w:val="28"/>
          <w:szCs w:val="28"/>
        </w:rPr>
        <w:t>algún servicio efectivo</w:t>
      </w:r>
      <w:r>
        <w:rPr>
          <w:rFonts w:ascii="Times New Roman" w:hAnsi="Times New Roman" w:cs="Times New Roman"/>
          <w:sz w:val="28"/>
          <w:szCs w:val="28"/>
        </w:rPr>
        <w:t xml:space="preserve"> al ciudadano, al estar muy próximas a </w:t>
      </w:r>
      <w:r w:rsidR="002179CB">
        <w:rPr>
          <w:rFonts w:ascii="Times New Roman" w:hAnsi="Times New Roman" w:cs="Times New Roman"/>
          <w:sz w:val="28"/>
          <w:szCs w:val="28"/>
        </w:rPr>
        <w:t>todas las localizaciones</w:t>
      </w:r>
      <w:r>
        <w:rPr>
          <w:rFonts w:ascii="Times New Roman" w:hAnsi="Times New Roman" w:cs="Times New Roman"/>
          <w:sz w:val="28"/>
          <w:szCs w:val="28"/>
        </w:rPr>
        <w:t xml:space="preserve"> sin necesidad de largos desplazamientos para conseguir cumplir con sus obligaciones ante la administración.</w:t>
      </w:r>
    </w:p>
    <w:p w14:paraId="18D7D7F6" w14:textId="0D5DC030" w:rsidR="00E63B9C" w:rsidRDefault="00E63B9C" w:rsidP="00E63B9C">
      <w:pPr>
        <w:jc w:val="both"/>
        <w:rPr>
          <w:rFonts w:ascii="Times New Roman" w:hAnsi="Times New Roman" w:cs="Times New Roman"/>
          <w:sz w:val="28"/>
          <w:szCs w:val="28"/>
        </w:rPr>
      </w:pPr>
      <w:r>
        <w:rPr>
          <w:rFonts w:ascii="Times New Roman" w:hAnsi="Times New Roman" w:cs="Times New Roman"/>
          <w:sz w:val="28"/>
          <w:szCs w:val="28"/>
        </w:rPr>
        <w:t>En supuestos como el presente, en cuyo supuesto la digitalización es imposible para ciertos trámites, el prescindir de las Intervenciones de Armas en las Comandancias</w:t>
      </w:r>
      <w:r w:rsidR="002179CB">
        <w:rPr>
          <w:rFonts w:ascii="Times New Roman" w:hAnsi="Times New Roman" w:cs="Times New Roman"/>
          <w:sz w:val="28"/>
          <w:szCs w:val="28"/>
        </w:rPr>
        <w:t xml:space="preserve"> de la Guardia Civil</w:t>
      </w:r>
      <w:r>
        <w:rPr>
          <w:rFonts w:ascii="Times New Roman" w:hAnsi="Times New Roman" w:cs="Times New Roman"/>
          <w:sz w:val="28"/>
          <w:szCs w:val="28"/>
        </w:rPr>
        <w:t>, sería sin duda un</w:t>
      </w:r>
      <w:r w:rsidR="002179CB">
        <w:rPr>
          <w:rFonts w:ascii="Times New Roman" w:hAnsi="Times New Roman" w:cs="Times New Roman"/>
          <w:sz w:val="28"/>
          <w:szCs w:val="28"/>
        </w:rPr>
        <w:t xml:space="preserve"> perjuicio irreparable para los administrados, para el servicio efectivo y próximo, </w:t>
      </w:r>
      <w:r w:rsidR="00524433">
        <w:rPr>
          <w:rFonts w:ascii="Times New Roman" w:hAnsi="Times New Roman" w:cs="Times New Roman"/>
          <w:sz w:val="28"/>
          <w:szCs w:val="28"/>
        </w:rPr>
        <w:t>y,</w:t>
      </w:r>
      <w:r w:rsidR="002179CB">
        <w:rPr>
          <w:rFonts w:ascii="Times New Roman" w:hAnsi="Times New Roman" w:cs="Times New Roman"/>
          <w:sz w:val="28"/>
          <w:szCs w:val="28"/>
        </w:rPr>
        <w:t xml:space="preserve"> por lo tanto, se deben de mantener.</w:t>
      </w:r>
    </w:p>
    <w:p w14:paraId="573C1BD2" w14:textId="0773E7C8" w:rsidR="002179CB" w:rsidRDefault="002179CB" w:rsidP="00E63B9C">
      <w:pPr>
        <w:jc w:val="both"/>
        <w:rPr>
          <w:rFonts w:ascii="Times New Roman" w:hAnsi="Times New Roman" w:cs="Times New Roman"/>
          <w:sz w:val="28"/>
          <w:szCs w:val="28"/>
        </w:rPr>
      </w:pPr>
      <w:r>
        <w:rPr>
          <w:rFonts w:ascii="Times New Roman" w:hAnsi="Times New Roman" w:cs="Times New Roman"/>
          <w:sz w:val="28"/>
          <w:szCs w:val="28"/>
        </w:rPr>
        <w:t>CUARTA. – Bloque de Seguridad Ciudadana</w:t>
      </w:r>
    </w:p>
    <w:p w14:paraId="384014A4" w14:textId="0D6497F2" w:rsidR="002179CB" w:rsidRPr="00E63B9C" w:rsidRDefault="002179CB" w:rsidP="002179CB">
      <w:pPr>
        <w:shd w:val="clear" w:color="auto" w:fill="D4D4D4"/>
        <w:jc w:val="both"/>
        <w:rPr>
          <w:rFonts w:ascii="Times New Roman" w:hAnsi="Times New Roman" w:cs="Times New Roman"/>
          <w:sz w:val="28"/>
          <w:szCs w:val="28"/>
        </w:rPr>
      </w:pPr>
      <w:r w:rsidRPr="002179CB">
        <w:rPr>
          <w:rFonts w:ascii="Times New Roman" w:hAnsi="Times New Roman" w:cs="Times New Roman"/>
          <w:sz w:val="28"/>
          <w:szCs w:val="28"/>
        </w:rPr>
        <w:t>Se establece la obligación de efectuar un curso formativo previo, que será desarrollado por el Ministerio del Interior, para obtener las licencias de armas que permitirán el uso de armas de defensa personal, caza, tiro deportivo y seguridad privada.</w:t>
      </w:r>
    </w:p>
    <w:p w14:paraId="6F974340" w14:textId="15276EAF" w:rsidR="00D75F88" w:rsidRDefault="009E5F55" w:rsidP="00D75F8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En cuanto a las Licencias de Armas Tipo </w:t>
      </w:r>
      <w:r w:rsidR="00524433">
        <w:rPr>
          <w:rFonts w:ascii="Times New Roman" w:hAnsi="Times New Roman" w:cs="Times New Roman"/>
          <w:sz w:val="28"/>
          <w:szCs w:val="28"/>
        </w:rPr>
        <w:t>D, E</w:t>
      </w:r>
      <w:r>
        <w:rPr>
          <w:rFonts w:ascii="Times New Roman" w:hAnsi="Times New Roman" w:cs="Times New Roman"/>
          <w:sz w:val="28"/>
          <w:szCs w:val="28"/>
        </w:rPr>
        <w:t xml:space="preserve"> y AEM, y</w:t>
      </w:r>
      <w:r w:rsidR="002179CB">
        <w:rPr>
          <w:rFonts w:ascii="Times New Roman" w:hAnsi="Times New Roman" w:cs="Times New Roman"/>
          <w:sz w:val="28"/>
          <w:szCs w:val="28"/>
        </w:rPr>
        <w:t xml:space="preserve">a existe esa obligación en el caso de caza, y por lo tanto se </w:t>
      </w:r>
      <w:r w:rsidR="00DD1541">
        <w:rPr>
          <w:rFonts w:ascii="Times New Roman" w:hAnsi="Times New Roman" w:cs="Times New Roman"/>
          <w:sz w:val="28"/>
          <w:szCs w:val="28"/>
        </w:rPr>
        <w:t>está</w:t>
      </w:r>
      <w:r w:rsidR="002179CB">
        <w:rPr>
          <w:rFonts w:ascii="Times New Roman" w:hAnsi="Times New Roman" w:cs="Times New Roman"/>
          <w:sz w:val="28"/>
          <w:szCs w:val="28"/>
        </w:rPr>
        <w:t xml:space="preserve"> duplicando innecesariamente un aspecto ya impuesto.</w:t>
      </w:r>
    </w:p>
    <w:p w14:paraId="71576CED" w14:textId="0A6EC4F9" w:rsidR="002179CB" w:rsidRDefault="002179CB" w:rsidP="00D75F8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Recordando los principios de la Ley 39/2015 de 1 de Octubre en su artículo 133 sobre este anteproyecto:</w:t>
      </w:r>
    </w:p>
    <w:p w14:paraId="7674FA4E" w14:textId="77777777" w:rsidR="002179CB" w:rsidRPr="00D75F88" w:rsidRDefault="002179CB" w:rsidP="002179CB">
      <w:pPr>
        <w:spacing w:after="0" w:line="276" w:lineRule="auto"/>
        <w:contextualSpacing/>
        <w:jc w:val="both"/>
        <w:rPr>
          <w:rFonts w:ascii="Times New Roman" w:hAnsi="Times New Roman" w:cs="Times New Roman"/>
          <w:sz w:val="28"/>
          <w:szCs w:val="28"/>
        </w:rPr>
      </w:pPr>
      <w:r w:rsidRPr="00D75F88">
        <w:rPr>
          <w:rFonts w:ascii="Times New Roman" w:hAnsi="Times New Roman" w:cs="Times New Roman"/>
          <w:sz w:val="28"/>
          <w:szCs w:val="28"/>
        </w:rPr>
        <w:lastRenderedPageBreak/>
        <w:t>a) Los problemas que se pretenden solucionar con la iniciativa.</w:t>
      </w:r>
    </w:p>
    <w:p w14:paraId="00B37102" w14:textId="77777777" w:rsidR="002179CB" w:rsidRPr="00D75F88" w:rsidRDefault="002179CB" w:rsidP="002179CB">
      <w:pPr>
        <w:spacing w:after="0" w:line="276" w:lineRule="auto"/>
        <w:contextualSpacing/>
        <w:jc w:val="both"/>
        <w:rPr>
          <w:rFonts w:ascii="Times New Roman" w:hAnsi="Times New Roman" w:cs="Times New Roman"/>
          <w:sz w:val="28"/>
          <w:szCs w:val="28"/>
        </w:rPr>
      </w:pPr>
    </w:p>
    <w:p w14:paraId="7F031823" w14:textId="77777777" w:rsidR="002179CB" w:rsidRPr="00D75F88" w:rsidRDefault="002179CB" w:rsidP="002179CB">
      <w:pPr>
        <w:spacing w:after="0" w:line="276" w:lineRule="auto"/>
        <w:contextualSpacing/>
        <w:jc w:val="both"/>
        <w:rPr>
          <w:rFonts w:ascii="Times New Roman" w:hAnsi="Times New Roman" w:cs="Times New Roman"/>
          <w:sz w:val="28"/>
          <w:szCs w:val="28"/>
        </w:rPr>
      </w:pPr>
      <w:r w:rsidRPr="00D75F88">
        <w:rPr>
          <w:rFonts w:ascii="Times New Roman" w:hAnsi="Times New Roman" w:cs="Times New Roman"/>
          <w:sz w:val="28"/>
          <w:szCs w:val="28"/>
        </w:rPr>
        <w:t>b) La necesidad y oportunidad de su aprobación.</w:t>
      </w:r>
    </w:p>
    <w:p w14:paraId="34C202AF" w14:textId="77777777" w:rsidR="002179CB" w:rsidRPr="00D75F88" w:rsidRDefault="002179CB" w:rsidP="002179CB">
      <w:pPr>
        <w:spacing w:after="0" w:line="276" w:lineRule="auto"/>
        <w:contextualSpacing/>
        <w:jc w:val="both"/>
        <w:rPr>
          <w:rFonts w:ascii="Times New Roman" w:hAnsi="Times New Roman" w:cs="Times New Roman"/>
          <w:sz w:val="28"/>
          <w:szCs w:val="28"/>
        </w:rPr>
      </w:pPr>
    </w:p>
    <w:p w14:paraId="11EDBE48" w14:textId="77777777" w:rsidR="002179CB" w:rsidRPr="00D75F88" w:rsidRDefault="002179CB" w:rsidP="002179CB">
      <w:pPr>
        <w:spacing w:after="0" w:line="276" w:lineRule="auto"/>
        <w:contextualSpacing/>
        <w:jc w:val="both"/>
        <w:rPr>
          <w:rFonts w:ascii="Times New Roman" w:hAnsi="Times New Roman" w:cs="Times New Roman"/>
          <w:sz w:val="28"/>
          <w:szCs w:val="28"/>
        </w:rPr>
      </w:pPr>
      <w:r w:rsidRPr="00D75F88">
        <w:rPr>
          <w:rFonts w:ascii="Times New Roman" w:hAnsi="Times New Roman" w:cs="Times New Roman"/>
          <w:sz w:val="28"/>
          <w:szCs w:val="28"/>
        </w:rPr>
        <w:t>c) Los objetivos de la norma.</w:t>
      </w:r>
    </w:p>
    <w:p w14:paraId="68A9874D" w14:textId="77777777" w:rsidR="002179CB" w:rsidRPr="00D75F88" w:rsidRDefault="002179CB" w:rsidP="002179CB">
      <w:pPr>
        <w:spacing w:after="0" w:line="276" w:lineRule="auto"/>
        <w:contextualSpacing/>
        <w:jc w:val="both"/>
        <w:rPr>
          <w:rFonts w:ascii="Times New Roman" w:hAnsi="Times New Roman" w:cs="Times New Roman"/>
          <w:sz w:val="28"/>
          <w:szCs w:val="28"/>
        </w:rPr>
      </w:pPr>
    </w:p>
    <w:p w14:paraId="4AB88930" w14:textId="77777777" w:rsidR="002179CB" w:rsidRDefault="002179CB" w:rsidP="002179CB">
      <w:pPr>
        <w:spacing w:after="0" w:line="276" w:lineRule="auto"/>
        <w:contextualSpacing/>
        <w:jc w:val="both"/>
        <w:rPr>
          <w:rFonts w:ascii="Times New Roman" w:hAnsi="Times New Roman" w:cs="Times New Roman"/>
          <w:sz w:val="28"/>
          <w:szCs w:val="28"/>
        </w:rPr>
      </w:pPr>
      <w:r w:rsidRPr="00D75F88">
        <w:rPr>
          <w:rFonts w:ascii="Times New Roman" w:hAnsi="Times New Roman" w:cs="Times New Roman"/>
          <w:sz w:val="28"/>
          <w:szCs w:val="28"/>
        </w:rPr>
        <w:t>d) Las posibles soluciones alternativas regulatorias y no regulatorias.</w:t>
      </w:r>
    </w:p>
    <w:p w14:paraId="3836AC16" w14:textId="77777777" w:rsidR="002179CB" w:rsidRDefault="002179CB" w:rsidP="002179CB">
      <w:pPr>
        <w:spacing w:after="0" w:line="276" w:lineRule="auto"/>
        <w:contextualSpacing/>
        <w:jc w:val="both"/>
        <w:rPr>
          <w:rFonts w:ascii="Times New Roman" w:hAnsi="Times New Roman" w:cs="Times New Roman"/>
          <w:sz w:val="28"/>
          <w:szCs w:val="28"/>
        </w:rPr>
      </w:pPr>
    </w:p>
    <w:p w14:paraId="2A06B354" w14:textId="3D039392" w:rsidR="002179CB" w:rsidRDefault="009E5F55" w:rsidP="002179CB">
      <w:pPr>
        <w:spacing w:after="0" w:line="276" w:lineRule="auto"/>
        <w:contextualSpacing/>
        <w:jc w:val="both"/>
        <w:rPr>
          <w:rFonts w:ascii="Times New Roman" w:hAnsi="Times New Roman" w:cs="Times New Roman"/>
          <w:sz w:val="28"/>
          <w:szCs w:val="28"/>
        </w:rPr>
      </w:pPr>
      <w:r>
        <w:rPr>
          <w:rFonts w:ascii="Times New Roman" w:hAnsi="Times New Roman" w:cs="Times New Roman"/>
          <w:sz w:val="28"/>
          <w:szCs w:val="28"/>
        </w:rPr>
        <w:t>A</w:t>
      </w:r>
      <w:r w:rsidR="002179CB">
        <w:rPr>
          <w:rFonts w:ascii="Times New Roman" w:hAnsi="Times New Roman" w:cs="Times New Roman"/>
          <w:sz w:val="28"/>
          <w:szCs w:val="28"/>
        </w:rPr>
        <w:t xml:space="preserve">sí las cosas, ya existe y está publicada en la </w:t>
      </w:r>
      <w:r w:rsidR="002179CB" w:rsidRPr="002179CB">
        <w:rPr>
          <w:rFonts w:ascii="Times New Roman" w:hAnsi="Times New Roman" w:cs="Times New Roman"/>
          <w:sz w:val="28"/>
          <w:szCs w:val="28"/>
        </w:rPr>
        <w:t>Orden de 18 de marzo de 1998 por la que se regulan las pruebas de capacitación para obtener determinadas licencias de armas y los requisitos para la habilitación de entidades dedicadas a la enseñanza correspondiente</w:t>
      </w:r>
      <w:r w:rsidR="002179CB">
        <w:rPr>
          <w:rFonts w:ascii="Times New Roman" w:hAnsi="Times New Roman" w:cs="Times New Roman"/>
          <w:sz w:val="28"/>
          <w:szCs w:val="28"/>
        </w:rPr>
        <w:t xml:space="preserve">, publicada en el </w:t>
      </w:r>
      <w:r w:rsidR="002179CB" w:rsidRPr="002179CB">
        <w:rPr>
          <w:rFonts w:ascii="Times New Roman" w:hAnsi="Times New Roman" w:cs="Times New Roman"/>
          <w:sz w:val="28"/>
          <w:szCs w:val="28"/>
        </w:rPr>
        <w:t>BOE» núm. 77, de 31 de marzo de 1998</w:t>
      </w:r>
      <w:r w:rsidR="002179CB">
        <w:rPr>
          <w:rFonts w:ascii="Times New Roman" w:hAnsi="Times New Roman" w:cs="Times New Roman"/>
          <w:sz w:val="28"/>
          <w:szCs w:val="28"/>
        </w:rPr>
        <w:t>, cuya exposición reza tal que sigue:</w:t>
      </w:r>
    </w:p>
    <w:p w14:paraId="7550C6E3" w14:textId="34EF359A" w:rsidR="002179CB" w:rsidRDefault="002179CB" w:rsidP="002179CB">
      <w:pPr>
        <w:spacing w:after="0" w:line="276" w:lineRule="auto"/>
        <w:contextualSpacing/>
        <w:jc w:val="both"/>
        <w:rPr>
          <w:rFonts w:ascii="Times New Roman" w:hAnsi="Times New Roman" w:cs="Times New Roman"/>
          <w:sz w:val="28"/>
          <w:szCs w:val="28"/>
        </w:rPr>
      </w:pPr>
      <w:r w:rsidRPr="002179CB">
        <w:rPr>
          <w:rFonts w:ascii="Times New Roman" w:hAnsi="Times New Roman" w:cs="Times New Roman"/>
          <w:i/>
          <w:iCs/>
          <w:sz w:val="28"/>
          <w:szCs w:val="28"/>
        </w:rPr>
        <w:t>El artículo 102.2 del Reglamento de Armas, aprobado por Real Decreto 137/1993, de 29 de enero, establece la exigencia de superar las pruebas de capacitación que determine el Ministerio del Interior, sobre conocimiento de las armas, su cuidado y conservación, y sobre habilidad para su manejo y utilización, así como la acreditación del conocimiento de dicho Reglamento, a efectos de obtener licencia para la tenencia y uso de armas largas rayadas para caza mayor o de escopetas y armas asimiladas</w:t>
      </w:r>
      <w:r w:rsidRPr="002179CB">
        <w:rPr>
          <w:rFonts w:ascii="Times New Roman" w:hAnsi="Times New Roman" w:cs="Times New Roman"/>
          <w:sz w:val="28"/>
          <w:szCs w:val="28"/>
        </w:rPr>
        <w:t>.</w:t>
      </w:r>
    </w:p>
    <w:p w14:paraId="335BFA73" w14:textId="77777777" w:rsidR="002179CB" w:rsidRDefault="002179CB" w:rsidP="002179CB">
      <w:pPr>
        <w:spacing w:after="0" w:line="276" w:lineRule="auto"/>
        <w:contextualSpacing/>
        <w:jc w:val="both"/>
        <w:rPr>
          <w:rFonts w:ascii="Times New Roman" w:hAnsi="Times New Roman" w:cs="Times New Roman"/>
          <w:sz w:val="28"/>
          <w:szCs w:val="28"/>
        </w:rPr>
      </w:pPr>
    </w:p>
    <w:p w14:paraId="2A2DAA46" w14:textId="0C57271A" w:rsidR="002179CB" w:rsidRDefault="002179CB" w:rsidP="002179CB">
      <w:pPr>
        <w:spacing w:after="0" w:line="276" w:lineRule="auto"/>
        <w:contextualSpacing/>
        <w:jc w:val="both"/>
        <w:rPr>
          <w:rFonts w:ascii="Times New Roman" w:hAnsi="Times New Roman" w:cs="Times New Roman"/>
          <w:sz w:val="28"/>
          <w:szCs w:val="28"/>
        </w:rPr>
      </w:pPr>
      <w:r>
        <w:rPr>
          <w:rFonts w:ascii="Times New Roman" w:hAnsi="Times New Roman" w:cs="Times New Roman"/>
          <w:sz w:val="28"/>
          <w:szCs w:val="28"/>
        </w:rPr>
        <w:t>Constando</w:t>
      </w:r>
      <w:r w:rsidR="009E5F55">
        <w:rPr>
          <w:rFonts w:ascii="Times New Roman" w:hAnsi="Times New Roman" w:cs="Times New Roman"/>
          <w:sz w:val="28"/>
          <w:szCs w:val="28"/>
        </w:rPr>
        <w:t>, como primera parte, de carácter</w:t>
      </w:r>
      <w:r>
        <w:rPr>
          <w:rFonts w:ascii="Times New Roman" w:hAnsi="Times New Roman" w:cs="Times New Roman"/>
          <w:sz w:val="28"/>
          <w:szCs w:val="28"/>
        </w:rPr>
        <w:t xml:space="preserve"> teóric</w:t>
      </w:r>
      <w:r w:rsidR="009E5F55">
        <w:rPr>
          <w:rFonts w:ascii="Times New Roman" w:hAnsi="Times New Roman" w:cs="Times New Roman"/>
          <w:sz w:val="28"/>
          <w:szCs w:val="28"/>
        </w:rPr>
        <w:t>o</w:t>
      </w:r>
      <w:r>
        <w:rPr>
          <w:rFonts w:ascii="Times New Roman" w:hAnsi="Times New Roman" w:cs="Times New Roman"/>
          <w:sz w:val="28"/>
          <w:szCs w:val="28"/>
        </w:rPr>
        <w:t xml:space="preserve">, con un examen tipo test, a superar </w:t>
      </w:r>
      <w:r w:rsidR="009E5F55">
        <w:rPr>
          <w:rFonts w:ascii="Times New Roman" w:hAnsi="Times New Roman" w:cs="Times New Roman"/>
          <w:sz w:val="28"/>
          <w:szCs w:val="28"/>
        </w:rPr>
        <w:t>contestando correctamente 16 de las 20 preguntas en un tiempo no superior a 20 minutos. Examen que se realiza en las instalaciones de la Benemérita.</w:t>
      </w:r>
    </w:p>
    <w:p w14:paraId="57A96EE0" w14:textId="7EACDBDF" w:rsidR="009E5F55" w:rsidRDefault="009E5F55" w:rsidP="002179CB">
      <w:pPr>
        <w:spacing w:after="0" w:line="276" w:lineRule="auto"/>
        <w:contextualSpacing/>
        <w:jc w:val="both"/>
        <w:rPr>
          <w:rFonts w:ascii="Times New Roman" w:hAnsi="Times New Roman" w:cs="Times New Roman"/>
          <w:sz w:val="28"/>
          <w:szCs w:val="28"/>
        </w:rPr>
      </w:pPr>
      <w:r>
        <w:rPr>
          <w:rFonts w:ascii="Times New Roman" w:hAnsi="Times New Roman" w:cs="Times New Roman"/>
          <w:sz w:val="28"/>
          <w:szCs w:val="28"/>
        </w:rPr>
        <w:t>Estando toda la información sobre este examen, en la siguiente dirección, con la información elaborada por el propio Instituto Armado</w:t>
      </w:r>
    </w:p>
    <w:p w14:paraId="578E3DE7" w14:textId="4A572A48" w:rsidR="009E5F55" w:rsidRDefault="005D763D" w:rsidP="002179CB">
      <w:pPr>
        <w:spacing w:after="0" w:line="276" w:lineRule="auto"/>
        <w:contextualSpacing/>
        <w:jc w:val="both"/>
        <w:rPr>
          <w:rFonts w:ascii="Times New Roman" w:hAnsi="Times New Roman" w:cs="Times New Roman"/>
          <w:sz w:val="28"/>
          <w:szCs w:val="28"/>
        </w:rPr>
      </w:pPr>
      <w:hyperlink r:id="rId10" w:history="1">
        <w:r w:rsidR="009E5F55" w:rsidRPr="001123D3">
          <w:rPr>
            <w:rStyle w:val="Hipervnculo"/>
            <w:rFonts w:ascii="Times New Roman" w:hAnsi="Times New Roman" w:cs="Times New Roman"/>
            <w:sz w:val="28"/>
            <w:szCs w:val="28"/>
          </w:rPr>
          <w:t>https://web.guardiacivil.es/es/tramites/autorizaciones-de-armas-y-explosivos/controldearmas/pruebas_licenciasarmas/licenciasDEAEM/index.html</w:t>
        </w:r>
      </w:hyperlink>
    </w:p>
    <w:p w14:paraId="1F597C64" w14:textId="4D410C60" w:rsidR="002179CB" w:rsidRDefault="009E5F55" w:rsidP="00D75F8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1EE98CEA" w14:textId="0F7A3A1A" w:rsidR="009E5F55" w:rsidRDefault="009E5F55" w:rsidP="00D75F8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Posteriormente, y para los aspirantes aptos en la materia, se realiza un examen tipo práctico, por parte y bajo la supervisión del Instituto Armado, constando de que el aspirante exhiba sus conocimientos sobre el uso práctico de las armas, debiendo de realizar optativamente 5 disparos con un arma larga rayada a un blanco estándar de 50 Cm , a una distancia de 25 metros, debiendo de impactar un proyectil en la diana, o alternativamente realizar </w:t>
      </w:r>
      <w:r>
        <w:rPr>
          <w:rFonts w:ascii="Times New Roman" w:hAnsi="Times New Roman" w:cs="Times New Roman"/>
          <w:sz w:val="28"/>
          <w:szCs w:val="28"/>
        </w:rPr>
        <w:lastRenderedPageBreak/>
        <w:t>dos disparos con un arma larga de ánima lisa, en cuyo caso debe de obtener un plomeo suficiente, a la misma distancia.</w:t>
      </w:r>
    </w:p>
    <w:p w14:paraId="3AEB5645" w14:textId="744C658C" w:rsidR="009E5F55" w:rsidRDefault="009E5F55" w:rsidP="00D75F88">
      <w:pPr>
        <w:spacing w:after="0" w:line="276" w:lineRule="auto"/>
        <w:jc w:val="both"/>
        <w:rPr>
          <w:rFonts w:ascii="Times New Roman" w:hAnsi="Times New Roman" w:cs="Times New Roman"/>
          <w:sz w:val="28"/>
          <w:szCs w:val="28"/>
        </w:rPr>
      </w:pPr>
      <w:r>
        <w:rPr>
          <w:rFonts w:ascii="Times New Roman" w:hAnsi="Times New Roman" w:cs="Times New Roman"/>
          <w:sz w:val="28"/>
          <w:szCs w:val="28"/>
        </w:rPr>
        <w:t>Información disponible en la siguiente dirección electrónica:</w:t>
      </w:r>
    </w:p>
    <w:p w14:paraId="0FAF1C2C" w14:textId="77777777" w:rsidR="009E5F55" w:rsidRDefault="009E5F55" w:rsidP="00D75F88">
      <w:pPr>
        <w:spacing w:after="0" w:line="276" w:lineRule="auto"/>
        <w:jc w:val="both"/>
        <w:rPr>
          <w:rFonts w:ascii="Times New Roman" w:hAnsi="Times New Roman" w:cs="Times New Roman"/>
          <w:sz w:val="28"/>
          <w:szCs w:val="28"/>
        </w:rPr>
      </w:pPr>
    </w:p>
    <w:p w14:paraId="67DFA692" w14:textId="2C6EA74A" w:rsidR="006B5FEF" w:rsidRDefault="005D763D" w:rsidP="00D75F88">
      <w:pPr>
        <w:spacing w:after="0" w:line="276" w:lineRule="auto"/>
        <w:jc w:val="both"/>
      </w:pPr>
      <w:hyperlink r:id="rId11" w:history="1">
        <w:r w:rsidR="009E5F55" w:rsidRPr="001123D3">
          <w:rPr>
            <w:rStyle w:val="Hipervnculo"/>
            <w:rFonts w:ascii="Times New Roman" w:hAnsi="Times New Roman" w:cs="Times New Roman"/>
            <w:sz w:val="28"/>
            <w:szCs w:val="28"/>
          </w:rPr>
          <w:t>https://web.guardiacivil.es/es/tramites/autorizaciones-de-armas-y-explosivos/controldearmas/pruebas_licenciasarmas/Actos_de_la_prueba_practica__licencias_D__E_y_AEM/index.html</w:t>
        </w:r>
      </w:hyperlink>
    </w:p>
    <w:p w14:paraId="2B8A7232" w14:textId="31AC0D1D" w:rsidR="006B5FEF" w:rsidRDefault="006B5FEF" w:rsidP="00D75F88">
      <w:pPr>
        <w:spacing w:after="0" w:line="276" w:lineRule="auto"/>
        <w:jc w:val="both"/>
      </w:pPr>
    </w:p>
    <w:p w14:paraId="36337686" w14:textId="6BBFDDC3" w:rsidR="006B5FEF" w:rsidRPr="006B5FEF" w:rsidRDefault="006B5FEF" w:rsidP="00D75F88">
      <w:pPr>
        <w:spacing w:after="0" w:line="276" w:lineRule="auto"/>
        <w:jc w:val="both"/>
      </w:pPr>
    </w:p>
    <w:p w14:paraId="5C02A748" w14:textId="673B6500" w:rsidR="006B5FEF" w:rsidRDefault="006B5FEF" w:rsidP="00D75F88">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Todas estas pruebas de habilitación para las licencias </w:t>
      </w:r>
      <w:r w:rsidR="00524433">
        <w:rPr>
          <w:rFonts w:ascii="Times New Roman" w:hAnsi="Times New Roman" w:cs="Times New Roman"/>
          <w:sz w:val="28"/>
          <w:szCs w:val="28"/>
        </w:rPr>
        <w:t>D, E</w:t>
      </w:r>
      <w:r>
        <w:rPr>
          <w:rFonts w:ascii="Times New Roman" w:hAnsi="Times New Roman" w:cs="Times New Roman"/>
          <w:sz w:val="28"/>
          <w:szCs w:val="28"/>
        </w:rPr>
        <w:t xml:space="preserve"> y AEM, cuentan asimismo con unas Tasas a abonar por el administrado que cubren el gasto ocasionado, y que esta nueva imposición se desconoce el incremento patrimonial que supondría la medida.</w:t>
      </w:r>
    </w:p>
    <w:p w14:paraId="7D6C9F0D" w14:textId="77777777" w:rsidR="006B5FEF" w:rsidRDefault="006B5FEF" w:rsidP="00D75F88">
      <w:pPr>
        <w:spacing w:line="276" w:lineRule="auto"/>
        <w:jc w:val="both"/>
        <w:rPr>
          <w:rFonts w:ascii="Times New Roman" w:hAnsi="Times New Roman" w:cs="Times New Roman"/>
          <w:sz w:val="28"/>
          <w:szCs w:val="28"/>
        </w:rPr>
      </w:pPr>
    </w:p>
    <w:p w14:paraId="5FEBBAF0" w14:textId="09B5F647" w:rsidR="009E5F55" w:rsidRDefault="009E5F55" w:rsidP="00D75F88">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Lo mismo acontece con la Licencia de Armas Tipo C, en cuyo caso existe un Triple Examen, de carácter eliminatorio, por un </w:t>
      </w:r>
      <w:r w:rsidR="00524433">
        <w:rPr>
          <w:rFonts w:ascii="Times New Roman" w:hAnsi="Times New Roman" w:cs="Times New Roman"/>
          <w:sz w:val="28"/>
          <w:szCs w:val="28"/>
        </w:rPr>
        <w:t>l</w:t>
      </w:r>
      <w:r>
        <w:rPr>
          <w:rFonts w:ascii="Times New Roman" w:hAnsi="Times New Roman" w:cs="Times New Roman"/>
          <w:sz w:val="28"/>
          <w:szCs w:val="28"/>
        </w:rPr>
        <w:t>ado:</w:t>
      </w:r>
    </w:p>
    <w:p w14:paraId="0BF372A3" w14:textId="4DE9F91B" w:rsidR="009E5F55" w:rsidRPr="006735B9" w:rsidRDefault="009E5F55" w:rsidP="006735B9">
      <w:pPr>
        <w:pStyle w:val="Prrafodelista"/>
        <w:numPr>
          <w:ilvl w:val="0"/>
          <w:numId w:val="2"/>
        </w:numPr>
        <w:spacing w:line="276" w:lineRule="auto"/>
        <w:jc w:val="both"/>
        <w:rPr>
          <w:rFonts w:ascii="Times New Roman" w:hAnsi="Times New Roman" w:cs="Times New Roman"/>
          <w:sz w:val="28"/>
          <w:szCs w:val="28"/>
        </w:rPr>
      </w:pPr>
      <w:r w:rsidRPr="006735B9">
        <w:rPr>
          <w:rFonts w:ascii="Times New Roman" w:hAnsi="Times New Roman" w:cs="Times New Roman"/>
          <w:sz w:val="28"/>
          <w:szCs w:val="28"/>
        </w:rPr>
        <w:t xml:space="preserve">Teórico conocimiento técnico de las armas del personal de Seguridad Privada, </w:t>
      </w:r>
    </w:p>
    <w:p w14:paraId="73E74A4E" w14:textId="4EA40430" w:rsidR="00774121" w:rsidRPr="006735B9" w:rsidRDefault="009E5F55" w:rsidP="006735B9">
      <w:pPr>
        <w:pStyle w:val="Prrafodelista"/>
        <w:numPr>
          <w:ilvl w:val="0"/>
          <w:numId w:val="2"/>
        </w:numPr>
        <w:spacing w:line="276" w:lineRule="auto"/>
        <w:jc w:val="both"/>
        <w:rPr>
          <w:rFonts w:ascii="Times New Roman" w:hAnsi="Times New Roman" w:cs="Times New Roman"/>
          <w:sz w:val="28"/>
          <w:szCs w:val="28"/>
        </w:rPr>
      </w:pPr>
      <w:r w:rsidRPr="006735B9">
        <w:rPr>
          <w:rFonts w:ascii="Times New Roman" w:hAnsi="Times New Roman" w:cs="Times New Roman"/>
          <w:sz w:val="28"/>
          <w:szCs w:val="28"/>
        </w:rPr>
        <w:t>Práctico con Arma de Fuego Revolver (Vigilante Seguridad /Explosivos) o Carabina (Guarda de Campo)</w:t>
      </w:r>
    </w:p>
    <w:p w14:paraId="3BB105D1" w14:textId="0C3ADC42" w:rsidR="009E5F55" w:rsidRPr="006735B9" w:rsidRDefault="006735B9" w:rsidP="006735B9">
      <w:pPr>
        <w:pStyle w:val="Prrafodelista"/>
        <w:numPr>
          <w:ilvl w:val="0"/>
          <w:numId w:val="2"/>
        </w:numPr>
        <w:spacing w:line="276" w:lineRule="auto"/>
        <w:jc w:val="both"/>
        <w:rPr>
          <w:rFonts w:ascii="Times New Roman" w:hAnsi="Times New Roman" w:cs="Times New Roman"/>
          <w:sz w:val="28"/>
          <w:szCs w:val="28"/>
        </w:rPr>
      </w:pPr>
      <w:r w:rsidRPr="006735B9">
        <w:rPr>
          <w:rFonts w:ascii="Times New Roman" w:hAnsi="Times New Roman" w:cs="Times New Roman"/>
          <w:sz w:val="28"/>
          <w:szCs w:val="28"/>
        </w:rPr>
        <w:t>Ejercicio escrito sobre la normativa específica del aspirante (Vigilante de Seguridad, Vigilante de Explosivos o Guardar Particular del Campo), el Reglamento de Armas y el conocimiento de las armas reglamentarias.</w:t>
      </w:r>
    </w:p>
    <w:p w14:paraId="6A9B4F28" w14:textId="714993AE" w:rsidR="00B64FD3" w:rsidRDefault="006735B9" w:rsidP="002B4DE8">
      <w:pPr>
        <w:jc w:val="both"/>
        <w:rPr>
          <w:rFonts w:ascii="Times New Roman" w:hAnsi="Times New Roman" w:cs="Times New Roman"/>
          <w:sz w:val="28"/>
          <w:szCs w:val="28"/>
        </w:rPr>
      </w:pPr>
      <w:r>
        <w:rPr>
          <w:rFonts w:ascii="Times New Roman" w:hAnsi="Times New Roman" w:cs="Times New Roman"/>
          <w:sz w:val="28"/>
          <w:szCs w:val="28"/>
        </w:rPr>
        <w:t>Toda una serie de conocimientos a demostrar, y con carácter eliminatorio, cuya información se encuentra a disposición de cualquier ciudadano en el siguiente enlace de internet:</w:t>
      </w:r>
    </w:p>
    <w:p w14:paraId="340D8178" w14:textId="52E4A4C0" w:rsidR="006735B9" w:rsidRDefault="005D763D" w:rsidP="002B4DE8">
      <w:pPr>
        <w:jc w:val="both"/>
        <w:rPr>
          <w:rFonts w:ascii="Times New Roman" w:hAnsi="Times New Roman" w:cs="Times New Roman"/>
          <w:sz w:val="28"/>
          <w:szCs w:val="28"/>
        </w:rPr>
      </w:pPr>
      <w:hyperlink r:id="rId12" w:history="1">
        <w:r w:rsidR="006735B9" w:rsidRPr="001123D3">
          <w:rPr>
            <w:rStyle w:val="Hipervnculo"/>
            <w:rFonts w:ascii="Times New Roman" w:hAnsi="Times New Roman" w:cs="Times New Roman"/>
            <w:sz w:val="28"/>
            <w:szCs w:val="28"/>
          </w:rPr>
          <w:t>https://web.guardiacivil.es/es/tramites/autorizaciones-de-armas-y-explosivos/controldearmas/pruebas_licenciasarmas/licenciasC/index.html</w:t>
        </w:r>
      </w:hyperlink>
    </w:p>
    <w:p w14:paraId="0DB19964" w14:textId="2FA64377" w:rsidR="006735B9" w:rsidRDefault="0062678C" w:rsidP="002B4DE8">
      <w:pPr>
        <w:jc w:val="both"/>
        <w:rPr>
          <w:rFonts w:ascii="Times New Roman" w:hAnsi="Times New Roman" w:cs="Times New Roman"/>
          <w:sz w:val="28"/>
          <w:szCs w:val="28"/>
        </w:rPr>
      </w:pPr>
      <w:r>
        <w:rPr>
          <w:rFonts w:ascii="Times New Roman" w:hAnsi="Times New Roman" w:cs="Times New Roman"/>
          <w:sz w:val="28"/>
          <w:szCs w:val="28"/>
        </w:rPr>
        <w:t>En cuanto a la Licencia de Armas tipo “F” para el Tiro Deportivo, ya regula el artículo 129 del vigente Reglamento de Armas que:</w:t>
      </w:r>
    </w:p>
    <w:p w14:paraId="28EE9530" w14:textId="78ED32A8" w:rsidR="0062678C" w:rsidRDefault="0062678C" w:rsidP="002B4DE8">
      <w:pPr>
        <w:jc w:val="both"/>
        <w:rPr>
          <w:rFonts w:ascii="Times New Roman" w:hAnsi="Times New Roman" w:cs="Times New Roman"/>
          <w:i/>
          <w:iCs/>
          <w:sz w:val="28"/>
          <w:szCs w:val="28"/>
        </w:rPr>
      </w:pPr>
      <w:r w:rsidRPr="0062678C">
        <w:rPr>
          <w:rFonts w:ascii="Times New Roman" w:hAnsi="Times New Roman" w:cs="Times New Roman"/>
          <w:i/>
          <w:iCs/>
          <w:sz w:val="28"/>
          <w:szCs w:val="28"/>
        </w:rPr>
        <w:t>Podrán solicitar licencia de armas F, especial para armas de concurso, los españoles y extranjeros residentes en España, que estén habilitados con arreglo a las normas deportivas para la práctica del tiro olímpico o de cualquiera otra modalidad deportiva debidamente legalizada que utilice armas de fuego</w:t>
      </w:r>
    </w:p>
    <w:p w14:paraId="4C4B7D34" w14:textId="4399DF0B" w:rsidR="0062678C" w:rsidRDefault="0062678C" w:rsidP="002B4DE8">
      <w:pPr>
        <w:jc w:val="both"/>
        <w:rPr>
          <w:rFonts w:ascii="Times New Roman" w:hAnsi="Times New Roman" w:cs="Times New Roman"/>
          <w:sz w:val="28"/>
          <w:szCs w:val="28"/>
        </w:rPr>
      </w:pPr>
      <w:r>
        <w:rPr>
          <w:rFonts w:ascii="Times New Roman" w:hAnsi="Times New Roman" w:cs="Times New Roman"/>
          <w:sz w:val="28"/>
          <w:szCs w:val="28"/>
        </w:rPr>
        <w:lastRenderedPageBreak/>
        <w:t>Y el art. 131.3 del Vigente Reglamento de Armas que “</w:t>
      </w:r>
      <w:r w:rsidRPr="0062678C">
        <w:rPr>
          <w:rFonts w:ascii="Times New Roman" w:hAnsi="Times New Roman" w:cs="Times New Roman"/>
          <w:i/>
          <w:iCs/>
          <w:sz w:val="28"/>
          <w:szCs w:val="28"/>
        </w:rPr>
        <w:t xml:space="preserve">En todo caso deberá acreditar el solicitante su habilitación deportiva para la </w:t>
      </w:r>
      <w:r w:rsidR="00524433" w:rsidRPr="0062678C">
        <w:rPr>
          <w:rFonts w:ascii="Times New Roman" w:hAnsi="Times New Roman" w:cs="Times New Roman"/>
          <w:i/>
          <w:iCs/>
          <w:sz w:val="28"/>
          <w:szCs w:val="28"/>
        </w:rPr>
        <w:t>modalidad</w:t>
      </w:r>
      <w:r w:rsidRPr="0062678C">
        <w:rPr>
          <w:rFonts w:ascii="Times New Roman" w:hAnsi="Times New Roman" w:cs="Times New Roman"/>
          <w:i/>
          <w:iCs/>
          <w:sz w:val="28"/>
          <w:szCs w:val="28"/>
        </w:rPr>
        <w:t xml:space="preserve"> de tiro que practique y la categoría de tirador que le corresponda</w:t>
      </w:r>
      <w:r>
        <w:rPr>
          <w:rFonts w:ascii="Times New Roman" w:hAnsi="Times New Roman" w:cs="Times New Roman"/>
          <w:sz w:val="28"/>
          <w:szCs w:val="28"/>
        </w:rPr>
        <w:t>”</w:t>
      </w:r>
    </w:p>
    <w:p w14:paraId="21706A5F" w14:textId="26A55D5A" w:rsidR="0062678C" w:rsidRDefault="0062678C" w:rsidP="002B4DE8">
      <w:pPr>
        <w:jc w:val="both"/>
        <w:rPr>
          <w:rFonts w:ascii="Times New Roman" w:hAnsi="Times New Roman" w:cs="Times New Roman"/>
          <w:sz w:val="28"/>
          <w:szCs w:val="28"/>
        </w:rPr>
      </w:pPr>
      <w:r>
        <w:rPr>
          <w:rFonts w:ascii="Times New Roman" w:hAnsi="Times New Roman" w:cs="Times New Roman"/>
          <w:sz w:val="28"/>
          <w:szCs w:val="28"/>
        </w:rPr>
        <w:t xml:space="preserve">La Habilitación Deportiva no es otra que un Curso, obligatoriamente a realizar por el aspirante en la Federación De Tiro Deportivo de su elección, en la cual deberá de superar, obligatoriamente una doble materia, por un </w:t>
      </w:r>
      <w:r w:rsidR="00524433">
        <w:rPr>
          <w:rFonts w:ascii="Times New Roman" w:hAnsi="Times New Roman" w:cs="Times New Roman"/>
          <w:sz w:val="28"/>
          <w:szCs w:val="28"/>
        </w:rPr>
        <w:t>lado,</w:t>
      </w:r>
      <w:r>
        <w:rPr>
          <w:rFonts w:ascii="Times New Roman" w:hAnsi="Times New Roman" w:cs="Times New Roman"/>
          <w:sz w:val="28"/>
          <w:szCs w:val="28"/>
        </w:rPr>
        <w:t xml:space="preserve"> el ámbito Teórico, con su correspondiente curso y examen por escrito.</w:t>
      </w:r>
    </w:p>
    <w:p w14:paraId="433AA5C5" w14:textId="0987B334" w:rsidR="0062678C" w:rsidRDefault="0062678C" w:rsidP="002B4DE8">
      <w:pPr>
        <w:jc w:val="both"/>
        <w:rPr>
          <w:rFonts w:ascii="Times New Roman" w:hAnsi="Times New Roman" w:cs="Times New Roman"/>
          <w:sz w:val="28"/>
          <w:szCs w:val="28"/>
        </w:rPr>
      </w:pPr>
      <w:r>
        <w:rPr>
          <w:rFonts w:ascii="Times New Roman" w:hAnsi="Times New Roman" w:cs="Times New Roman"/>
          <w:sz w:val="28"/>
          <w:szCs w:val="28"/>
        </w:rPr>
        <w:t>Por otro lado, existe una instrucción práctica, en la que se orienta y enseña al aspirante a enfrentarse al Examen Práctico, teniendo el mismo a su vez, dos variantes, por un lado, Arma Corta, a realizar con armas que le son proporcionadas al aspirante, generalmente calibre .22 LR, y que debe de superar 50 puntos sobre 100, en un blanco ISSF de 50 centímetros a una distancia de 25 Metros.</w:t>
      </w:r>
    </w:p>
    <w:p w14:paraId="104A92A0" w14:textId="4E2DBAEC" w:rsidR="0062678C" w:rsidRDefault="0062678C" w:rsidP="002B4DE8">
      <w:pPr>
        <w:jc w:val="both"/>
        <w:rPr>
          <w:rFonts w:ascii="Times New Roman" w:hAnsi="Times New Roman" w:cs="Times New Roman"/>
          <w:sz w:val="28"/>
          <w:szCs w:val="28"/>
        </w:rPr>
      </w:pPr>
      <w:r>
        <w:rPr>
          <w:rFonts w:ascii="Times New Roman" w:hAnsi="Times New Roman" w:cs="Times New Roman"/>
          <w:sz w:val="28"/>
          <w:szCs w:val="28"/>
        </w:rPr>
        <w:t>Y por otro, examen con arma larga, en cuyo caso el aspirante debe de realizar el ejercicio práctico superando la puntuación de 50 puntos sobre 100, con el blanco estándar ISSF de 50 centímetros, esta vez a una distancia de 50 Metros.</w:t>
      </w:r>
    </w:p>
    <w:p w14:paraId="75A3267E" w14:textId="617C25F4" w:rsidR="006B5FEF" w:rsidRDefault="006B5FEF" w:rsidP="002B4DE8">
      <w:pPr>
        <w:jc w:val="both"/>
        <w:rPr>
          <w:rFonts w:ascii="Times New Roman" w:hAnsi="Times New Roman" w:cs="Times New Roman"/>
          <w:sz w:val="28"/>
          <w:szCs w:val="28"/>
        </w:rPr>
      </w:pPr>
      <w:r>
        <w:rPr>
          <w:rFonts w:ascii="Times New Roman" w:hAnsi="Times New Roman" w:cs="Times New Roman"/>
          <w:sz w:val="28"/>
          <w:szCs w:val="28"/>
        </w:rPr>
        <w:t>Los cursos, tienen que ser abonados por el aspirante, en este caso Socio de la Federación, teniendo algunos un sobradamente y exagerado precio.</w:t>
      </w:r>
    </w:p>
    <w:p w14:paraId="36491DEC" w14:textId="05A13EDD" w:rsidR="0062678C" w:rsidRDefault="0062678C" w:rsidP="002B4DE8">
      <w:pPr>
        <w:jc w:val="both"/>
        <w:rPr>
          <w:rFonts w:ascii="Times New Roman" w:hAnsi="Times New Roman" w:cs="Times New Roman"/>
          <w:sz w:val="28"/>
          <w:szCs w:val="28"/>
        </w:rPr>
      </w:pPr>
      <w:r>
        <w:rPr>
          <w:rFonts w:ascii="Times New Roman" w:hAnsi="Times New Roman" w:cs="Times New Roman"/>
          <w:sz w:val="28"/>
          <w:szCs w:val="28"/>
        </w:rPr>
        <w:t>Solamente después de haber superado todo esto, puede obtener la habilitación deportiva para poder solicitar la Licencia de Armas Tipo “F”, además de los requisitos adicionales</w:t>
      </w:r>
      <w:r w:rsidR="006B5FEF">
        <w:rPr>
          <w:rFonts w:ascii="Times New Roman" w:hAnsi="Times New Roman" w:cs="Times New Roman"/>
          <w:sz w:val="28"/>
          <w:szCs w:val="28"/>
        </w:rPr>
        <w:t xml:space="preserve"> que existen para ser concedida.</w:t>
      </w:r>
    </w:p>
    <w:p w14:paraId="3820CD06" w14:textId="6E6587A5" w:rsidR="0062678C" w:rsidRDefault="0062678C" w:rsidP="002B4DE8">
      <w:pPr>
        <w:jc w:val="both"/>
        <w:rPr>
          <w:rFonts w:ascii="Times New Roman" w:hAnsi="Times New Roman" w:cs="Times New Roman"/>
          <w:sz w:val="28"/>
          <w:szCs w:val="28"/>
        </w:rPr>
      </w:pPr>
      <w:r>
        <w:rPr>
          <w:rFonts w:ascii="Times New Roman" w:hAnsi="Times New Roman" w:cs="Times New Roman"/>
          <w:sz w:val="28"/>
          <w:szCs w:val="28"/>
        </w:rPr>
        <w:t>La imposición de un curso</w:t>
      </w:r>
      <w:r w:rsidR="006B5FEF">
        <w:rPr>
          <w:rFonts w:ascii="Times New Roman" w:hAnsi="Times New Roman" w:cs="Times New Roman"/>
          <w:sz w:val="28"/>
          <w:szCs w:val="28"/>
        </w:rPr>
        <w:t xml:space="preserve"> (o cursos)</w:t>
      </w:r>
      <w:r>
        <w:rPr>
          <w:rFonts w:ascii="Times New Roman" w:hAnsi="Times New Roman" w:cs="Times New Roman"/>
          <w:sz w:val="28"/>
          <w:szCs w:val="28"/>
        </w:rPr>
        <w:t xml:space="preserve"> </w:t>
      </w:r>
      <w:r w:rsidR="0067098D">
        <w:rPr>
          <w:rFonts w:ascii="Times New Roman" w:hAnsi="Times New Roman" w:cs="Times New Roman"/>
          <w:sz w:val="28"/>
          <w:szCs w:val="28"/>
        </w:rPr>
        <w:t>adicional</w:t>
      </w:r>
      <w:r>
        <w:rPr>
          <w:rFonts w:ascii="Times New Roman" w:hAnsi="Times New Roman" w:cs="Times New Roman"/>
          <w:sz w:val="28"/>
          <w:szCs w:val="28"/>
        </w:rPr>
        <w:t xml:space="preserve"> únicamente responde a </w:t>
      </w:r>
      <w:r w:rsidR="0067098D">
        <w:rPr>
          <w:rFonts w:ascii="Times New Roman" w:hAnsi="Times New Roman" w:cs="Times New Roman"/>
          <w:sz w:val="28"/>
          <w:szCs w:val="28"/>
        </w:rPr>
        <w:t>una exigencia que excede con creces la necesidad, ya cubierta, y que únicamente son un perjuicio y gastos adicionales para el Administrado, además de que va en contra de los Principios Generales con los que debe de actuar la Administración Pública, del art. 3.1 de la Ley 40/2015 ut supra citada y que son entre otros:</w:t>
      </w:r>
    </w:p>
    <w:p w14:paraId="71ECBEA7" w14:textId="65ABB99B" w:rsidR="0067098D" w:rsidRDefault="0067098D" w:rsidP="0067098D">
      <w:pPr>
        <w:jc w:val="both"/>
        <w:rPr>
          <w:rFonts w:ascii="Times New Roman" w:hAnsi="Times New Roman" w:cs="Times New Roman"/>
          <w:sz w:val="28"/>
          <w:szCs w:val="28"/>
        </w:rPr>
      </w:pPr>
      <w:r w:rsidRPr="0067098D">
        <w:rPr>
          <w:rFonts w:ascii="Times New Roman" w:hAnsi="Times New Roman" w:cs="Times New Roman"/>
          <w:sz w:val="28"/>
          <w:szCs w:val="28"/>
        </w:rPr>
        <w:t>a) Servicio efectivo a los ciudadanos</w:t>
      </w:r>
      <w:r>
        <w:rPr>
          <w:rFonts w:ascii="Times New Roman" w:hAnsi="Times New Roman" w:cs="Times New Roman"/>
          <w:sz w:val="28"/>
          <w:szCs w:val="28"/>
        </w:rPr>
        <w:t xml:space="preserve">, </w:t>
      </w:r>
      <w:r w:rsidRPr="0067098D">
        <w:rPr>
          <w:rFonts w:ascii="Times New Roman" w:hAnsi="Times New Roman" w:cs="Times New Roman"/>
          <w:sz w:val="28"/>
          <w:szCs w:val="28"/>
        </w:rPr>
        <w:t>b) Simplicidad, claridad y proximidad a los ciudadanos</w:t>
      </w:r>
      <w:r>
        <w:rPr>
          <w:rFonts w:ascii="Times New Roman" w:hAnsi="Times New Roman" w:cs="Times New Roman"/>
          <w:sz w:val="28"/>
          <w:szCs w:val="28"/>
        </w:rPr>
        <w:t xml:space="preserve">, </w:t>
      </w:r>
      <w:r w:rsidRPr="0067098D">
        <w:rPr>
          <w:rFonts w:ascii="Times New Roman" w:hAnsi="Times New Roman" w:cs="Times New Roman"/>
          <w:sz w:val="28"/>
          <w:szCs w:val="28"/>
        </w:rPr>
        <w:t>c) Participación, objetividad y transparencia de la actuación administrativa.</w:t>
      </w:r>
      <w:r>
        <w:rPr>
          <w:rFonts w:ascii="Times New Roman" w:hAnsi="Times New Roman" w:cs="Times New Roman"/>
          <w:sz w:val="28"/>
          <w:szCs w:val="28"/>
        </w:rPr>
        <w:t xml:space="preserve">, </w:t>
      </w:r>
      <w:r w:rsidRPr="0067098D">
        <w:rPr>
          <w:rFonts w:ascii="Times New Roman" w:hAnsi="Times New Roman" w:cs="Times New Roman"/>
          <w:sz w:val="28"/>
          <w:szCs w:val="28"/>
        </w:rPr>
        <w:t>d) Racionalización y agilidad de los procedimientos administrativos y de las actividades materiales de gestión.</w:t>
      </w:r>
      <w:r>
        <w:rPr>
          <w:rFonts w:ascii="Times New Roman" w:hAnsi="Times New Roman" w:cs="Times New Roman"/>
          <w:sz w:val="28"/>
          <w:szCs w:val="28"/>
        </w:rPr>
        <w:t xml:space="preserve">, </w:t>
      </w:r>
      <w:r w:rsidRPr="0067098D">
        <w:rPr>
          <w:rFonts w:ascii="Times New Roman" w:hAnsi="Times New Roman" w:cs="Times New Roman"/>
          <w:sz w:val="28"/>
          <w:szCs w:val="28"/>
        </w:rPr>
        <w:t>e) Buena fe, confianza legítima y lealtad institucional</w:t>
      </w:r>
      <w:r>
        <w:rPr>
          <w:rFonts w:ascii="Times New Roman" w:hAnsi="Times New Roman" w:cs="Times New Roman"/>
          <w:sz w:val="28"/>
          <w:szCs w:val="28"/>
        </w:rPr>
        <w:t xml:space="preserve">, </w:t>
      </w:r>
      <w:r w:rsidRPr="0067098D">
        <w:rPr>
          <w:rFonts w:ascii="Times New Roman" w:hAnsi="Times New Roman" w:cs="Times New Roman"/>
          <w:sz w:val="28"/>
          <w:szCs w:val="28"/>
        </w:rPr>
        <w:t>f) Responsabilidad por la gestión pública</w:t>
      </w:r>
      <w:r>
        <w:rPr>
          <w:rFonts w:ascii="Times New Roman" w:hAnsi="Times New Roman" w:cs="Times New Roman"/>
          <w:sz w:val="28"/>
          <w:szCs w:val="28"/>
        </w:rPr>
        <w:t xml:space="preserve">, </w:t>
      </w:r>
      <w:r w:rsidRPr="0067098D">
        <w:rPr>
          <w:rFonts w:ascii="Times New Roman" w:hAnsi="Times New Roman" w:cs="Times New Roman"/>
          <w:sz w:val="28"/>
          <w:szCs w:val="28"/>
        </w:rPr>
        <w:t>g) Planificación y dirección por objetivos y control de la gestión y evaluación de los resultados de las políticas públicas</w:t>
      </w:r>
      <w:r>
        <w:rPr>
          <w:rFonts w:ascii="Times New Roman" w:hAnsi="Times New Roman" w:cs="Times New Roman"/>
          <w:sz w:val="28"/>
          <w:szCs w:val="28"/>
        </w:rPr>
        <w:t xml:space="preserve">, </w:t>
      </w:r>
      <w:r w:rsidRPr="0067098D">
        <w:rPr>
          <w:rFonts w:ascii="Times New Roman" w:hAnsi="Times New Roman" w:cs="Times New Roman"/>
          <w:sz w:val="28"/>
          <w:szCs w:val="28"/>
        </w:rPr>
        <w:t>h) Eficacia en el cumplimiento de los objetivos fijados.</w:t>
      </w:r>
    </w:p>
    <w:p w14:paraId="74347B1E" w14:textId="73F80F58" w:rsidR="00904089" w:rsidRPr="00904089" w:rsidRDefault="00904089" w:rsidP="00904089">
      <w:pPr>
        <w:shd w:val="clear" w:color="auto" w:fill="D4D4D4"/>
        <w:jc w:val="both"/>
        <w:rPr>
          <w:rFonts w:ascii="Times New Roman" w:hAnsi="Times New Roman" w:cs="Times New Roman"/>
          <w:i/>
          <w:iCs/>
          <w:sz w:val="28"/>
          <w:szCs w:val="28"/>
        </w:rPr>
      </w:pPr>
      <w:r w:rsidRPr="00904089">
        <w:rPr>
          <w:rFonts w:ascii="Times New Roman" w:hAnsi="Times New Roman" w:cs="Times New Roman"/>
          <w:i/>
          <w:iCs/>
          <w:sz w:val="28"/>
          <w:szCs w:val="28"/>
        </w:rPr>
        <w:lastRenderedPageBreak/>
        <w:t>En otro orden de cosas, los informes de inteligencia indican que la dificultad de acceso a armas de fuego por parte de determinados grupos de delincuencia organizada ha provocado una búsqueda de otras vías de suministro tales como el uso de testaferros que adquieren legalmente determinados tipos de armas para luego facilitárselas mediante subterfugios como la falsa denuncia de pérdida o robo. Aquellos informes también constatan, ante la dificultad de acceder a armas de fuego, la utilización para usos delictivos de determinadas armas blancas que, además de intimidación, producen efectos devastadores en la integridad física de las personas cuando se utilizan con tales fines. Esta información obliga a que la Administración adopte las medidas oportunas para evitar, en la medida de lo posible y sin perturbar gravemente el lícito comercio de estas armas, las acciones delictivas restringiendo el acceso legal a determinadas armas o incrementando los controles sobre su uso. Se trata específicamente de los machetes y de las armas de apariencia militar y policial, popularmente conocidas como armas tácticas. En el mismo sentido, se pretende cierta regulación con respecto a las armas de concurso.</w:t>
      </w:r>
    </w:p>
    <w:p w14:paraId="0D5A85F7" w14:textId="5AB19751" w:rsidR="0062678C" w:rsidRDefault="007077F2" w:rsidP="002B4DE8">
      <w:pPr>
        <w:jc w:val="both"/>
        <w:rPr>
          <w:rFonts w:ascii="Times New Roman" w:hAnsi="Times New Roman" w:cs="Times New Roman"/>
          <w:sz w:val="28"/>
          <w:szCs w:val="28"/>
        </w:rPr>
      </w:pPr>
      <w:r>
        <w:rPr>
          <w:rFonts w:ascii="Times New Roman" w:hAnsi="Times New Roman" w:cs="Times New Roman"/>
          <w:sz w:val="28"/>
          <w:szCs w:val="28"/>
        </w:rPr>
        <w:t xml:space="preserve">En primer lugar, la administración no ha suministrado la documentación o información </w:t>
      </w:r>
      <w:r w:rsidR="00530981">
        <w:rPr>
          <w:rFonts w:ascii="Times New Roman" w:hAnsi="Times New Roman" w:cs="Times New Roman"/>
          <w:sz w:val="28"/>
          <w:szCs w:val="28"/>
        </w:rPr>
        <w:t>que exige la normativa, “</w:t>
      </w:r>
      <w:r w:rsidR="00530981" w:rsidRPr="00530981">
        <w:rPr>
          <w:rFonts w:ascii="Times New Roman" w:hAnsi="Times New Roman" w:cs="Times New Roman"/>
          <w:i/>
          <w:iCs/>
          <w:sz w:val="28"/>
          <w:szCs w:val="28"/>
        </w:rPr>
        <w:t>tengan la posibilidad de emitir su opinión, para lo cual deberán ponerse a su disposición los documentos necesarios, que serán claros, concisos y reunir toda la información precisa para poder pronunciarse sobre la materia</w:t>
      </w:r>
      <w:r w:rsidR="00530981">
        <w:rPr>
          <w:rFonts w:ascii="Times New Roman" w:hAnsi="Times New Roman" w:cs="Times New Roman"/>
          <w:sz w:val="28"/>
          <w:szCs w:val="28"/>
        </w:rPr>
        <w:t>” más allá de remotas afirmaciones que se refieren a una multitud de elementos sin concretar elementos suficientes que sustenten el introducir esta modificación o que realmente sean de utilidad.</w:t>
      </w:r>
    </w:p>
    <w:p w14:paraId="233BFF08" w14:textId="27EAF683" w:rsidR="00530981" w:rsidRDefault="00530981" w:rsidP="002B4DE8">
      <w:pPr>
        <w:jc w:val="both"/>
        <w:rPr>
          <w:rFonts w:ascii="Times New Roman" w:hAnsi="Times New Roman" w:cs="Times New Roman"/>
          <w:sz w:val="28"/>
          <w:szCs w:val="28"/>
        </w:rPr>
      </w:pPr>
      <w:r>
        <w:rPr>
          <w:rFonts w:ascii="Times New Roman" w:hAnsi="Times New Roman" w:cs="Times New Roman"/>
          <w:sz w:val="28"/>
          <w:szCs w:val="28"/>
        </w:rPr>
        <w:t xml:space="preserve">Para pode realizar las alegaciones, esta parte va a dividir el párrafo en lo que concierne a los grupos de malhechores organizados </w:t>
      </w:r>
      <w:r w:rsidR="00524433">
        <w:rPr>
          <w:rFonts w:ascii="Times New Roman" w:hAnsi="Times New Roman" w:cs="Times New Roman"/>
          <w:sz w:val="28"/>
          <w:szCs w:val="28"/>
        </w:rPr>
        <w:t>que según</w:t>
      </w:r>
      <w:r>
        <w:rPr>
          <w:rFonts w:ascii="Times New Roman" w:hAnsi="Times New Roman" w:cs="Times New Roman"/>
          <w:sz w:val="28"/>
          <w:szCs w:val="28"/>
        </w:rPr>
        <w:t xml:space="preserve"> afirma la administración operan con armas de fuego, y luego que esos mismos u otros (ante la inconcreción de la administración) operan con lo que se denomina “armas blancas”</w:t>
      </w:r>
    </w:p>
    <w:p w14:paraId="6B562179" w14:textId="624F03BC" w:rsidR="000C0E8B" w:rsidRDefault="00530981" w:rsidP="002B4DE8">
      <w:pPr>
        <w:jc w:val="both"/>
        <w:rPr>
          <w:rFonts w:ascii="Times New Roman" w:hAnsi="Times New Roman" w:cs="Times New Roman"/>
          <w:sz w:val="28"/>
          <w:szCs w:val="28"/>
        </w:rPr>
      </w:pPr>
      <w:r>
        <w:rPr>
          <w:rFonts w:ascii="Times New Roman" w:hAnsi="Times New Roman" w:cs="Times New Roman"/>
          <w:sz w:val="28"/>
          <w:szCs w:val="28"/>
        </w:rPr>
        <w:t xml:space="preserve">En respecto a las organizaciones criminales que operan con armas de fuego, la administración tiene el deber, de no ampararse en la opacidad que otorga el Acuerdo del Consejo de Ministros del 28 de Noviembre de 1986, </w:t>
      </w:r>
      <w:r w:rsidR="000C0E8B">
        <w:rPr>
          <w:rFonts w:ascii="Times New Roman" w:hAnsi="Times New Roman" w:cs="Times New Roman"/>
          <w:sz w:val="28"/>
          <w:szCs w:val="28"/>
        </w:rPr>
        <w:t>que declara secretos y por lo tanto bajo la Ley de Secretos Oficiales los informes de inteligencia, pero no las estadísticas.</w:t>
      </w:r>
    </w:p>
    <w:p w14:paraId="53E3C4F4" w14:textId="5DC649B7" w:rsidR="000C0E8B" w:rsidRDefault="000C0E8B" w:rsidP="002B4DE8">
      <w:pPr>
        <w:jc w:val="both"/>
        <w:rPr>
          <w:rFonts w:ascii="Times New Roman" w:hAnsi="Times New Roman" w:cs="Times New Roman"/>
          <w:sz w:val="28"/>
          <w:szCs w:val="28"/>
        </w:rPr>
      </w:pPr>
      <w:r>
        <w:rPr>
          <w:rFonts w:ascii="Times New Roman" w:hAnsi="Times New Roman" w:cs="Times New Roman"/>
          <w:sz w:val="28"/>
          <w:szCs w:val="28"/>
        </w:rPr>
        <w:t xml:space="preserve">Se debe y se tiene que aclarar, </w:t>
      </w:r>
      <w:r w:rsidR="00995FD0">
        <w:rPr>
          <w:rFonts w:ascii="Times New Roman" w:hAnsi="Times New Roman" w:cs="Times New Roman"/>
          <w:sz w:val="28"/>
          <w:szCs w:val="28"/>
        </w:rPr>
        <w:t>cuantos,</w:t>
      </w:r>
      <w:r>
        <w:rPr>
          <w:rFonts w:ascii="Times New Roman" w:hAnsi="Times New Roman" w:cs="Times New Roman"/>
          <w:sz w:val="28"/>
          <w:szCs w:val="28"/>
        </w:rPr>
        <w:t xml:space="preserve"> de los delincuentes detenidos, son poseedores de Licencias de Armas Tipo “A, B, C, </w:t>
      </w:r>
      <w:r w:rsidR="00524433">
        <w:rPr>
          <w:rFonts w:ascii="Times New Roman" w:hAnsi="Times New Roman" w:cs="Times New Roman"/>
          <w:sz w:val="28"/>
          <w:szCs w:val="28"/>
        </w:rPr>
        <w:t>D,</w:t>
      </w:r>
      <w:r>
        <w:rPr>
          <w:rFonts w:ascii="Times New Roman" w:hAnsi="Times New Roman" w:cs="Times New Roman"/>
          <w:sz w:val="28"/>
          <w:szCs w:val="28"/>
        </w:rPr>
        <w:t xml:space="preserve"> </w:t>
      </w:r>
      <w:r w:rsidR="00524433">
        <w:rPr>
          <w:rFonts w:ascii="Times New Roman" w:hAnsi="Times New Roman" w:cs="Times New Roman"/>
          <w:sz w:val="28"/>
          <w:szCs w:val="28"/>
        </w:rPr>
        <w:t>E,</w:t>
      </w:r>
      <w:r>
        <w:rPr>
          <w:rFonts w:ascii="Times New Roman" w:hAnsi="Times New Roman" w:cs="Times New Roman"/>
          <w:sz w:val="28"/>
          <w:szCs w:val="28"/>
        </w:rPr>
        <w:t xml:space="preserve"> F, AE</w:t>
      </w:r>
      <w:r w:rsidR="00995FD0">
        <w:rPr>
          <w:rFonts w:ascii="Times New Roman" w:hAnsi="Times New Roman" w:cs="Times New Roman"/>
          <w:sz w:val="28"/>
          <w:szCs w:val="28"/>
        </w:rPr>
        <w:t xml:space="preserve">”, y de los mismos, cuantos operaban con armas de fuego legales, esto es, dadas de alta </w:t>
      </w:r>
      <w:r w:rsidR="00995FD0">
        <w:rPr>
          <w:rFonts w:ascii="Times New Roman" w:hAnsi="Times New Roman" w:cs="Times New Roman"/>
          <w:sz w:val="28"/>
          <w:szCs w:val="28"/>
        </w:rPr>
        <w:lastRenderedPageBreak/>
        <w:t>en el Registro Nacional de Armas, y que contaban con guía de pertenencia en las susodichas licencias. Un índice estadístico que demuestre la necesidad de la aprobación de esta modificación es imprescindible, de lo contrario no hay causa justificada para transponer una directiva que habla de armas de fuego legales, para acabar hablando de un mercado ilícito que nada tiene que ver con los legítimos usuarios.</w:t>
      </w:r>
    </w:p>
    <w:p w14:paraId="76DF71F2" w14:textId="5178FC77" w:rsidR="00995FD0" w:rsidRDefault="00995FD0" w:rsidP="002B4DE8">
      <w:pPr>
        <w:jc w:val="both"/>
        <w:rPr>
          <w:rFonts w:ascii="Times New Roman" w:hAnsi="Times New Roman" w:cs="Times New Roman"/>
          <w:sz w:val="28"/>
          <w:szCs w:val="28"/>
        </w:rPr>
      </w:pPr>
      <w:r>
        <w:rPr>
          <w:rFonts w:ascii="Times New Roman" w:hAnsi="Times New Roman" w:cs="Times New Roman"/>
          <w:sz w:val="28"/>
          <w:szCs w:val="28"/>
        </w:rPr>
        <w:t>Dicha información es totalmente encajable en transparencia e información pública, para aclarar si existe algún caso de Organizaciones Criminales utilizando armas de fuego legales.</w:t>
      </w:r>
    </w:p>
    <w:p w14:paraId="184FBB0F" w14:textId="111CA9CD" w:rsidR="0061743C" w:rsidRDefault="0061743C" w:rsidP="0061743C">
      <w:pPr>
        <w:jc w:val="both"/>
        <w:rPr>
          <w:rFonts w:ascii="Times New Roman" w:hAnsi="Times New Roman" w:cs="Times New Roman"/>
          <w:sz w:val="28"/>
          <w:szCs w:val="28"/>
        </w:rPr>
      </w:pPr>
      <w:r>
        <w:rPr>
          <w:rFonts w:ascii="Times New Roman" w:hAnsi="Times New Roman" w:cs="Times New Roman"/>
          <w:sz w:val="28"/>
          <w:szCs w:val="28"/>
        </w:rPr>
        <w:t xml:space="preserve">En cuanto a la referencia a las “armas tácticas” según manifiesta la administración actuante, armas de apariencia militar y/o policial, </w:t>
      </w:r>
      <w:r w:rsidRPr="0061743C">
        <w:rPr>
          <w:rFonts w:ascii="Times New Roman" w:hAnsi="Times New Roman" w:cs="Times New Roman"/>
          <w:sz w:val="28"/>
          <w:szCs w:val="28"/>
        </w:rPr>
        <w:t>La clasificación jurídica de armas en el Derecho de la Unión Europea</w:t>
      </w:r>
      <w:r>
        <w:rPr>
          <w:rFonts w:ascii="Times New Roman" w:hAnsi="Times New Roman" w:cs="Times New Roman"/>
          <w:sz w:val="28"/>
          <w:szCs w:val="28"/>
        </w:rPr>
        <w:t>, y en concreto en la Directiva 2021/555,</w:t>
      </w:r>
      <w:r w:rsidRPr="0061743C">
        <w:rPr>
          <w:rFonts w:ascii="Times New Roman" w:hAnsi="Times New Roman" w:cs="Times New Roman"/>
          <w:sz w:val="28"/>
          <w:szCs w:val="28"/>
        </w:rPr>
        <w:t xml:space="preserve"> se fundamenta en</w:t>
      </w:r>
      <w:r>
        <w:rPr>
          <w:rFonts w:ascii="Times New Roman" w:hAnsi="Times New Roman" w:cs="Times New Roman"/>
          <w:sz w:val="28"/>
          <w:szCs w:val="28"/>
        </w:rPr>
        <w:t xml:space="preserve"> </w:t>
      </w:r>
      <w:r w:rsidRPr="0061743C">
        <w:rPr>
          <w:rFonts w:ascii="Times New Roman" w:hAnsi="Times New Roman" w:cs="Times New Roman"/>
          <w:sz w:val="28"/>
          <w:szCs w:val="28"/>
        </w:rPr>
        <w:t xml:space="preserve">características técnicas y funcionales, </w:t>
      </w:r>
      <w:r>
        <w:rPr>
          <w:rFonts w:ascii="Times New Roman" w:hAnsi="Times New Roman" w:cs="Times New Roman"/>
          <w:sz w:val="28"/>
          <w:szCs w:val="28"/>
        </w:rPr>
        <w:t>en ningún momento se circunscribe a la estética como sí desea imponer la administración en la transposición, y eso, es arbitrariedad. Tampoco se ha esgrimido una estadística de esas supuestas armas de fuego legales, que tienen apariencia de estética policial y/o militar, que han sido utilizadas para fines ilícitos, estaban en el mercado legal con guía y licencia de armas.</w:t>
      </w:r>
    </w:p>
    <w:p w14:paraId="1D85F047" w14:textId="02293A75" w:rsidR="0061743C" w:rsidRDefault="0061743C" w:rsidP="0061743C">
      <w:pPr>
        <w:jc w:val="both"/>
        <w:rPr>
          <w:rFonts w:ascii="Times New Roman" w:hAnsi="Times New Roman" w:cs="Times New Roman"/>
          <w:sz w:val="28"/>
          <w:szCs w:val="28"/>
        </w:rPr>
      </w:pPr>
      <w:r>
        <w:rPr>
          <w:rFonts w:ascii="Times New Roman" w:hAnsi="Times New Roman" w:cs="Times New Roman"/>
          <w:sz w:val="28"/>
          <w:szCs w:val="28"/>
        </w:rPr>
        <w:t xml:space="preserve">Entre otros, a través de </w:t>
      </w:r>
      <w:r w:rsidRPr="0061743C">
        <w:rPr>
          <w:rFonts w:ascii="Times New Roman" w:hAnsi="Times New Roman" w:cs="Times New Roman"/>
          <w:sz w:val="28"/>
          <w:szCs w:val="28"/>
        </w:rPr>
        <w:t>STC 150/</w:t>
      </w:r>
      <w:r w:rsidR="00204114" w:rsidRPr="0061743C">
        <w:rPr>
          <w:rFonts w:ascii="Times New Roman" w:hAnsi="Times New Roman" w:cs="Times New Roman"/>
          <w:sz w:val="28"/>
          <w:szCs w:val="28"/>
        </w:rPr>
        <w:t>1990</w:t>
      </w:r>
      <w:r w:rsidR="00204114">
        <w:rPr>
          <w:rFonts w:ascii="Times New Roman" w:hAnsi="Times New Roman" w:cs="Times New Roman"/>
          <w:sz w:val="28"/>
          <w:szCs w:val="28"/>
        </w:rPr>
        <w:t>,</w:t>
      </w:r>
      <w:r>
        <w:rPr>
          <w:rFonts w:ascii="Times New Roman" w:hAnsi="Times New Roman" w:cs="Times New Roman"/>
          <w:sz w:val="28"/>
          <w:szCs w:val="28"/>
        </w:rPr>
        <w:t xml:space="preserve"> el </w:t>
      </w:r>
      <w:r w:rsidRPr="0061743C">
        <w:rPr>
          <w:rFonts w:ascii="Times New Roman" w:hAnsi="Times New Roman" w:cs="Times New Roman"/>
          <w:sz w:val="28"/>
          <w:szCs w:val="28"/>
        </w:rPr>
        <w:t>Tribunal Constitucional ha señalado que la potestad reglamentaria no puede ejercerse con criterios arbitrarios o carentes de conexión racional con el fin perseguido</w:t>
      </w:r>
      <w:r>
        <w:rPr>
          <w:rFonts w:ascii="Times New Roman" w:hAnsi="Times New Roman" w:cs="Times New Roman"/>
          <w:sz w:val="28"/>
          <w:szCs w:val="28"/>
        </w:rPr>
        <w:t xml:space="preserve">, </w:t>
      </w:r>
    </w:p>
    <w:p w14:paraId="02C448EC" w14:textId="77777777" w:rsidR="0061743C" w:rsidRDefault="0061743C" w:rsidP="0061743C">
      <w:pPr>
        <w:jc w:val="both"/>
        <w:rPr>
          <w:rFonts w:ascii="Times New Roman" w:hAnsi="Times New Roman" w:cs="Times New Roman"/>
          <w:sz w:val="28"/>
          <w:szCs w:val="28"/>
        </w:rPr>
      </w:pPr>
    </w:p>
    <w:p w14:paraId="3F98DCCD" w14:textId="4C06CD25" w:rsidR="00995FD0" w:rsidRDefault="00995FD0" w:rsidP="002B4DE8">
      <w:pPr>
        <w:jc w:val="both"/>
        <w:rPr>
          <w:rFonts w:ascii="Times New Roman" w:hAnsi="Times New Roman" w:cs="Times New Roman"/>
          <w:sz w:val="28"/>
          <w:szCs w:val="28"/>
        </w:rPr>
      </w:pPr>
      <w:r>
        <w:rPr>
          <w:rFonts w:ascii="Times New Roman" w:hAnsi="Times New Roman" w:cs="Times New Roman"/>
          <w:sz w:val="28"/>
          <w:szCs w:val="28"/>
        </w:rPr>
        <w:t xml:space="preserve">Por el otro lado, se afirma la existencia de grupúsculos de </w:t>
      </w:r>
      <w:r w:rsidR="005A018C">
        <w:rPr>
          <w:rFonts w:ascii="Times New Roman" w:hAnsi="Times New Roman" w:cs="Times New Roman"/>
          <w:sz w:val="28"/>
          <w:szCs w:val="28"/>
        </w:rPr>
        <w:t xml:space="preserve">malhechores, </w:t>
      </w:r>
      <w:r w:rsidR="00560E61">
        <w:rPr>
          <w:rFonts w:ascii="Times New Roman" w:hAnsi="Times New Roman" w:cs="Times New Roman"/>
          <w:sz w:val="28"/>
          <w:szCs w:val="28"/>
        </w:rPr>
        <w:t>que,</w:t>
      </w:r>
      <w:r w:rsidR="005A018C">
        <w:rPr>
          <w:rFonts w:ascii="Times New Roman" w:hAnsi="Times New Roman" w:cs="Times New Roman"/>
          <w:sz w:val="28"/>
          <w:szCs w:val="28"/>
        </w:rPr>
        <w:t xml:space="preserve"> ante la imposibilidad de acceder a las armas de fuego, </w:t>
      </w:r>
      <w:r w:rsidR="00204114">
        <w:rPr>
          <w:rFonts w:ascii="Times New Roman" w:hAnsi="Times New Roman" w:cs="Times New Roman"/>
          <w:sz w:val="28"/>
          <w:szCs w:val="28"/>
        </w:rPr>
        <w:t>utilizan para su negocio criminal, al parecer</w:t>
      </w:r>
      <w:r w:rsidR="005A018C">
        <w:rPr>
          <w:rFonts w:ascii="Times New Roman" w:hAnsi="Times New Roman" w:cs="Times New Roman"/>
          <w:sz w:val="28"/>
          <w:szCs w:val="28"/>
        </w:rPr>
        <w:t xml:space="preserve"> armas blancas, en este caso, los denominados “machetes” y que por ello hay que intervenir</w:t>
      </w:r>
      <w:r w:rsidR="00560E61">
        <w:rPr>
          <w:rFonts w:ascii="Times New Roman" w:hAnsi="Times New Roman" w:cs="Times New Roman"/>
          <w:sz w:val="28"/>
          <w:szCs w:val="28"/>
        </w:rPr>
        <w:t xml:space="preserve"> para evitar su proliferación</w:t>
      </w:r>
      <w:r w:rsidR="005A018C">
        <w:rPr>
          <w:rFonts w:ascii="Times New Roman" w:hAnsi="Times New Roman" w:cs="Times New Roman"/>
          <w:sz w:val="28"/>
          <w:szCs w:val="28"/>
        </w:rPr>
        <w:t>.</w:t>
      </w:r>
    </w:p>
    <w:p w14:paraId="137C0BFC" w14:textId="2BBDE146" w:rsidR="005A018C" w:rsidRDefault="005A018C" w:rsidP="002B4DE8">
      <w:pPr>
        <w:jc w:val="both"/>
        <w:rPr>
          <w:rFonts w:ascii="Times New Roman" w:hAnsi="Times New Roman" w:cs="Times New Roman"/>
          <w:sz w:val="28"/>
          <w:szCs w:val="28"/>
        </w:rPr>
      </w:pPr>
      <w:r>
        <w:rPr>
          <w:rFonts w:ascii="Times New Roman" w:hAnsi="Times New Roman" w:cs="Times New Roman"/>
          <w:sz w:val="28"/>
          <w:szCs w:val="28"/>
        </w:rPr>
        <w:t xml:space="preserve">La Directiva 2021/555, no deja lugar a interpretaciones ajenas, y se refiere y circunscribe a Armas de Fuego, ni se menciona las armas blancas, y por lo tanto en la transposición tampoco deberían de tenerse en cuenta ni ser objeto de </w:t>
      </w:r>
      <w:r w:rsidR="00560E61">
        <w:rPr>
          <w:rFonts w:ascii="Times New Roman" w:hAnsi="Times New Roman" w:cs="Times New Roman"/>
          <w:sz w:val="28"/>
          <w:szCs w:val="28"/>
        </w:rPr>
        <w:t>incorporarlo al derecho interno.</w:t>
      </w:r>
    </w:p>
    <w:p w14:paraId="1A31FA59" w14:textId="77A03EB1" w:rsidR="00560E61" w:rsidRDefault="00560E61" w:rsidP="002B4DE8">
      <w:pPr>
        <w:jc w:val="both"/>
        <w:rPr>
          <w:rFonts w:ascii="Times New Roman" w:hAnsi="Times New Roman" w:cs="Times New Roman"/>
          <w:sz w:val="28"/>
          <w:szCs w:val="28"/>
        </w:rPr>
      </w:pPr>
      <w:r>
        <w:rPr>
          <w:rFonts w:ascii="Times New Roman" w:hAnsi="Times New Roman" w:cs="Times New Roman"/>
          <w:sz w:val="28"/>
          <w:szCs w:val="28"/>
        </w:rPr>
        <w:t xml:space="preserve">Sin pretender ni mucho menos hacer oídos sordos a un severo problema de Seguridad Ciudadana más que conocido y sufrido por cada día </w:t>
      </w:r>
      <w:proofErr w:type="spellStart"/>
      <w:r>
        <w:rPr>
          <w:rFonts w:ascii="Times New Roman" w:hAnsi="Times New Roman" w:cs="Times New Roman"/>
          <w:sz w:val="28"/>
          <w:szCs w:val="28"/>
        </w:rPr>
        <w:t>mas</w:t>
      </w:r>
      <w:proofErr w:type="spellEnd"/>
      <w:r>
        <w:rPr>
          <w:rFonts w:ascii="Times New Roman" w:hAnsi="Times New Roman" w:cs="Times New Roman"/>
          <w:sz w:val="28"/>
          <w:szCs w:val="28"/>
        </w:rPr>
        <w:t xml:space="preserve"> gente, se recuerda a la Administración actuante, que en el Reino de España, está taxativamente prohibida la defensa propia, al ser la Seguridad Pública una competencia exclusiva de la Administración General del Estado, que encomienda a las Fuerzas y Cuerpos de Seguridad dicha tarea, y que es </w:t>
      </w:r>
      <w:r>
        <w:rPr>
          <w:rFonts w:ascii="Times New Roman" w:hAnsi="Times New Roman" w:cs="Times New Roman"/>
          <w:sz w:val="28"/>
          <w:szCs w:val="28"/>
        </w:rPr>
        <w:lastRenderedPageBreak/>
        <w:t>competencia de estos últimos el asegurar la no proliferación de bandas y grupúsculos de criminales que estén causando el pánico.</w:t>
      </w:r>
    </w:p>
    <w:p w14:paraId="50B34CA2" w14:textId="6F93105F" w:rsidR="00560E61" w:rsidRDefault="00560E61" w:rsidP="002B4DE8">
      <w:pPr>
        <w:jc w:val="both"/>
        <w:rPr>
          <w:rFonts w:ascii="Times New Roman" w:hAnsi="Times New Roman" w:cs="Times New Roman"/>
          <w:sz w:val="28"/>
          <w:szCs w:val="28"/>
        </w:rPr>
      </w:pPr>
      <w:r>
        <w:rPr>
          <w:rFonts w:ascii="Times New Roman" w:hAnsi="Times New Roman" w:cs="Times New Roman"/>
          <w:sz w:val="28"/>
          <w:szCs w:val="28"/>
        </w:rPr>
        <w:t xml:space="preserve">Por otra parte, tampoco se puede obviar que el uso de dichas armas </w:t>
      </w:r>
      <w:r w:rsidR="00524433">
        <w:rPr>
          <w:rFonts w:ascii="Times New Roman" w:hAnsi="Times New Roman" w:cs="Times New Roman"/>
          <w:sz w:val="28"/>
          <w:szCs w:val="28"/>
        </w:rPr>
        <w:t>blancas</w:t>
      </w:r>
      <w:r>
        <w:rPr>
          <w:rFonts w:ascii="Times New Roman" w:hAnsi="Times New Roman" w:cs="Times New Roman"/>
          <w:sz w:val="28"/>
          <w:szCs w:val="28"/>
        </w:rPr>
        <w:t xml:space="preserve"> no es precisamente una tradición propia del Reino de España, y que el Control de Fronteras también corresponde a las Fuerzas y Cuerpos de Seguridad, que deberían de encargarse de que no ingresen al territorio según </w:t>
      </w:r>
      <w:proofErr w:type="spellStart"/>
      <w:r>
        <w:rPr>
          <w:rFonts w:ascii="Times New Roman" w:hAnsi="Times New Roman" w:cs="Times New Roman"/>
          <w:sz w:val="28"/>
          <w:szCs w:val="28"/>
        </w:rPr>
        <w:t>que</w:t>
      </w:r>
      <w:proofErr w:type="spellEnd"/>
      <w:r>
        <w:rPr>
          <w:rFonts w:ascii="Times New Roman" w:hAnsi="Times New Roman" w:cs="Times New Roman"/>
          <w:sz w:val="28"/>
          <w:szCs w:val="28"/>
        </w:rPr>
        <w:t xml:space="preserve"> elementos perturbadores del orden público.</w:t>
      </w:r>
    </w:p>
    <w:p w14:paraId="039AEF37" w14:textId="146D261B" w:rsidR="00560E61" w:rsidRDefault="00560E61" w:rsidP="002B4DE8">
      <w:pPr>
        <w:jc w:val="both"/>
        <w:rPr>
          <w:rFonts w:ascii="Times New Roman" w:hAnsi="Times New Roman" w:cs="Times New Roman"/>
          <w:sz w:val="28"/>
          <w:szCs w:val="28"/>
        </w:rPr>
      </w:pPr>
      <w:r>
        <w:rPr>
          <w:rFonts w:ascii="Times New Roman" w:hAnsi="Times New Roman" w:cs="Times New Roman"/>
          <w:sz w:val="28"/>
          <w:szCs w:val="28"/>
        </w:rPr>
        <w:t>Y que es competencia de la administración velar por la seguridad</w:t>
      </w:r>
      <w:r w:rsidR="00204114">
        <w:rPr>
          <w:rFonts w:ascii="Times New Roman" w:hAnsi="Times New Roman" w:cs="Times New Roman"/>
          <w:sz w:val="28"/>
          <w:szCs w:val="28"/>
        </w:rPr>
        <w:t xml:space="preserve"> ciudadana</w:t>
      </w:r>
      <w:r>
        <w:rPr>
          <w:rFonts w:ascii="Times New Roman" w:hAnsi="Times New Roman" w:cs="Times New Roman"/>
          <w:sz w:val="28"/>
          <w:szCs w:val="28"/>
        </w:rPr>
        <w:t xml:space="preserve"> expulsando a los malhechores, </w:t>
      </w:r>
      <w:r w:rsidR="00AC6BC8">
        <w:rPr>
          <w:rFonts w:ascii="Times New Roman" w:hAnsi="Times New Roman" w:cs="Times New Roman"/>
          <w:sz w:val="28"/>
          <w:szCs w:val="28"/>
        </w:rPr>
        <w:t>en lugar de permitirles la convivencia con los que sí cumplimos las normas.</w:t>
      </w:r>
      <w:r>
        <w:rPr>
          <w:rFonts w:ascii="Times New Roman" w:hAnsi="Times New Roman" w:cs="Times New Roman"/>
          <w:sz w:val="28"/>
          <w:szCs w:val="28"/>
        </w:rPr>
        <w:t xml:space="preserve"> </w:t>
      </w:r>
    </w:p>
    <w:p w14:paraId="665BEEC6" w14:textId="24B4A50E" w:rsidR="00204114" w:rsidRDefault="00204114" w:rsidP="002B4DE8">
      <w:pPr>
        <w:jc w:val="both"/>
        <w:rPr>
          <w:rFonts w:ascii="Times New Roman" w:hAnsi="Times New Roman" w:cs="Times New Roman"/>
          <w:sz w:val="28"/>
          <w:szCs w:val="28"/>
        </w:rPr>
      </w:pPr>
      <w:r>
        <w:rPr>
          <w:rFonts w:ascii="Times New Roman" w:hAnsi="Times New Roman" w:cs="Times New Roman"/>
          <w:sz w:val="28"/>
          <w:szCs w:val="28"/>
        </w:rPr>
        <w:t xml:space="preserve">Es por ello, que tampoco se puede incluir la reforma en la presente consulta pública, ya que al no formar parte de la Directiva 2021/5555, no forma parte de la invitación formal a transponer </w:t>
      </w:r>
      <w:r w:rsidR="00C94FFA">
        <w:rPr>
          <w:rFonts w:ascii="Times New Roman" w:hAnsi="Times New Roman" w:cs="Times New Roman"/>
          <w:sz w:val="28"/>
          <w:szCs w:val="28"/>
        </w:rPr>
        <w:t>lo que no contiene la citada norma de rango Europeo.</w:t>
      </w:r>
    </w:p>
    <w:p w14:paraId="6A67DFA2" w14:textId="77777777" w:rsidR="0061743C" w:rsidRDefault="0061743C" w:rsidP="002B4DE8">
      <w:pPr>
        <w:jc w:val="both"/>
        <w:rPr>
          <w:rFonts w:ascii="Times New Roman" w:hAnsi="Times New Roman" w:cs="Times New Roman"/>
          <w:sz w:val="28"/>
          <w:szCs w:val="28"/>
        </w:rPr>
      </w:pPr>
    </w:p>
    <w:p w14:paraId="3109AD51" w14:textId="795E459B" w:rsidR="00560E61" w:rsidRDefault="00C94FFA" w:rsidP="002B4DE8">
      <w:pPr>
        <w:jc w:val="both"/>
        <w:rPr>
          <w:rFonts w:ascii="Times New Roman" w:hAnsi="Times New Roman" w:cs="Times New Roman"/>
          <w:sz w:val="28"/>
          <w:szCs w:val="28"/>
        </w:rPr>
      </w:pPr>
      <w:r>
        <w:rPr>
          <w:rFonts w:ascii="Times New Roman" w:hAnsi="Times New Roman" w:cs="Times New Roman"/>
          <w:sz w:val="28"/>
          <w:szCs w:val="28"/>
        </w:rPr>
        <w:t>Sobre la última y “contundente” frase, no es suficiente evocar reformas en general, sino también para las armas de concurso.</w:t>
      </w:r>
    </w:p>
    <w:p w14:paraId="32F81F16" w14:textId="34B4AC44" w:rsidR="00C94FFA" w:rsidRDefault="00C94FFA" w:rsidP="002B4DE8">
      <w:pPr>
        <w:jc w:val="both"/>
        <w:rPr>
          <w:rFonts w:ascii="Times New Roman" w:hAnsi="Times New Roman" w:cs="Times New Roman"/>
          <w:sz w:val="28"/>
          <w:szCs w:val="28"/>
        </w:rPr>
      </w:pPr>
      <w:r>
        <w:rPr>
          <w:rFonts w:ascii="Times New Roman" w:hAnsi="Times New Roman" w:cs="Times New Roman"/>
          <w:sz w:val="28"/>
          <w:szCs w:val="28"/>
        </w:rPr>
        <w:t>Hasta la fecha, y salvo error u omisión por esta parte, no hay en este Reino de España Federaciones Deportivas donde se utilicen machetes</w:t>
      </w:r>
      <w:r w:rsidR="00DD1541">
        <w:rPr>
          <w:rFonts w:ascii="Times New Roman" w:hAnsi="Times New Roman" w:cs="Times New Roman"/>
          <w:sz w:val="28"/>
          <w:szCs w:val="28"/>
        </w:rPr>
        <w:t xml:space="preserve"> </w:t>
      </w:r>
      <w:r>
        <w:rPr>
          <w:rFonts w:ascii="Times New Roman" w:hAnsi="Times New Roman" w:cs="Times New Roman"/>
          <w:sz w:val="28"/>
          <w:szCs w:val="28"/>
        </w:rPr>
        <w:t xml:space="preserve">como elemento deportivo y de competición entre los participantes, con el ánimo de causar lesiones. Es por ello </w:t>
      </w:r>
      <w:r w:rsidR="00524433">
        <w:rPr>
          <w:rFonts w:ascii="Times New Roman" w:hAnsi="Times New Roman" w:cs="Times New Roman"/>
          <w:sz w:val="28"/>
          <w:szCs w:val="28"/>
        </w:rPr>
        <w:t>por lo que</w:t>
      </w:r>
      <w:r>
        <w:rPr>
          <w:rFonts w:ascii="Times New Roman" w:hAnsi="Times New Roman" w:cs="Times New Roman"/>
          <w:sz w:val="28"/>
          <w:szCs w:val="28"/>
        </w:rPr>
        <w:t xml:space="preserve"> tampoco es </w:t>
      </w:r>
      <w:r w:rsidR="00524433">
        <w:rPr>
          <w:rFonts w:ascii="Times New Roman" w:hAnsi="Times New Roman" w:cs="Times New Roman"/>
          <w:sz w:val="28"/>
          <w:szCs w:val="28"/>
        </w:rPr>
        <w:t>necesario,</w:t>
      </w:r>
      <w:r>
        <w:rPr>
          <w:rFonts w:ascii="Times New Roman" w:hAnsi="Times New Roman" w:cs="Times New Roman"/>
          <w:sz w:val="28"/>
          <w:szCs w:val="28"/>
        </w:rPr>
        <w:t xml:space="preserve"> en virtud de los requisitos del art. 133 de la Ley 39/2015 de 1 de Octubre, que puedan aportar a lo ya establecido.</w:t>
      </w:r>
    </w:p>
    <w:p w14:paraId="1442023F" w14:textId="402EC965" w:rsidR="00C94FFA" w:rsidRDefault="00C94FFA" w:rsidP="002B4DE8">
      <w:pPr>
        <w:jc w:val="both"/>
        <w:rPr>
          <w:rFonts w:ascii="Times New Roman" w:hAnsi="Times New Roman" w:cs="Times New Roman"/>
          <w:sz w:val="28"/>
          <w:szCs w:val="28"/>
        </w:rPr>
      </w:pPr>
      <w:r>
        <w:rPr>
          <w:rFonts w:ascii="Times New Roman" w:hAnsi="Times New Roman" w:cs="Times New Roman"/>
          <w:sz w:val="28"/>
          <w:szCs w:val="28"/>
        </w:rPr>
        <w:t xml:space="preserve">En cuanto a incluir reformas en las armas de concurso utilizadas en el Tiro Deportivo, no es baladí mencionar </w:t>
      </w:r>
      <w:r w:rsidR="00524433">
        <w:rPr>
          <w:rFonts w:ascii="Times New Roman" w:hAnsi="Times New Roman" w:cs="Times New Roman"/>
          <w:sz w:val="28"/>
          <w:szCs w:val="28"/>
        </w:rPr>
        <w:t>que,</w:t>
      </w:r>
      <w:r>
        <w:rPr>
          <w:rFonts w:ascii="Times New Roman" w:hAnsi="Times New Roman" w:cs="Times New Roman"/>
          <w:sz w:val="28"/>
          <w:szCs w:val="28"/>
        </w:rPr>
        <w:t xml:space="preserve"> dentro de las Distintas Federaciones de Tiro, existen multitud de disciplinas y modalidades de deporte donde se utilizan las que la administración denomina armas de fuego con apariencia militar y/o policial, tanto en arma corta como arma larga, teniendo como ejemplo las modalidades de IPSC, tanto con arma larga, corta, carabina y escopeta.</w:t>
      </w:r>
    </w:p>
    <w:p w14:paraId="0E49BE46" w14:textId="3BBFB7DB" w:rsidR="00C94FFA" w:rsidRDefault="00C94FFA" w:rsidP="002B4DE8">
      <w:pPr>
        <w:jc w:val="both"/>
        <w:rPr>
          <w:rFonts w:ascii="Times New Roman" w:hAnsi="Times New Roman" w:cs="Times New Roman"/>
          <w:sz w:val="28"/>
          <w:szCs w:val="28"/>
        </w:rPr>
      </w:pPr>
      <w:r>
        <w:rPr>
          <w:rFonts w:ascii="Times New Roman" w:hAnsi="Times New Roman" w:cs="Times New Roman"/>
          <w:sz w:val="28"/>
          <w:szCs w:val="28"/>
        </w:rPr>
        <w:t xml:space="preserve">Miras Abiertas Open, PRS, donde se utilizan armas “con estética”, que realmente lo que tienen es una capacidad técnica de alcanzar con precisión distancias que con calibres y armas “de uso civil”, sería absolutamente imposible siquiera conseguir una puntuación mínima que justifique su utilización. Ejemplos diversos, como el calibre 6,5 </w:t>
      </w:r>
      <w:proofErr w:type="spellStart"/>
      <w:r>
        <w:rPr>
          <w:rFonts w:ascii="Times New Roman" w:hAnsi="Times New Roman" w:cs="Times New Roman"/>
          <w:sz w:val="28"/>
          <w:szCs w:val="28"/>
        </w:rPr>
        <w:t>Creedmore</w:t>
      </w:r>
      <w:proofErr w:type="spellEnd"/>
      <w:r w:rsidR="00721B68">
        <w:rPr>
          <w:rFonts w:ascii="Times New Roman" w:hAnsi="Times New Roman" w:cs="Times New Roman"/>
          <w:sz w:val="28"/>
          <w:szCs w:val="28"/>
        </w:rPr>
        <w:t xml:space="preserve">, 300PRC, 338 </w:t>
      </w:r>
      <w:proofErr w:type="spellStart"/>
      <w:r w:rsidR="00721B68">
        <w:rPr>
          <w:rFonts w:ascii="Times New Roman" w:hAnsi="Times New Roman" w:cs="Times New Roman"/>
          <w:sz w:val="28"/>
          <w:szCs w:val="28"/>
        </w:rPr>
        <w:t>Lapua</w:t>
      </w:r>
      <w:proofErr w:type="spellEnd"/>
      <w:r w:rsidR="00721B68">
        <w:rPr>
          <w:rFonts w:ascii="Times New Roman" w:hAnsi="Times New Roman" w:cs="Times New Roman"/>
          <w:sz w:val="28"/>
          <w:szCs w:val="28"/>
        </w:rPr>
        <w:t xml:space="preserve"> Magnum, específicos para disparo a</w:t>
      </w:r>
      <w:r>
        <w:rPr>
          <w:rFonts w:ascii="Times New Roman" w:hAnsi="Times New Roman" w:cs="Times New Roman"/>
          <w:sz w:val="28"/>
          <w:szCs w:val="28"/>
        </w:rPr>
        <w:t xml:space="preserve"> distancias de hasta 1000 metros, </w:t>
      </w:r>
      <w:r>
        <w:rPr>
          <w:rFonts w:ascii="Times New Roman" w:hAnsi="Times New Roman" w:cs="Times New Roman"/>
          <w:sz w:val="28"/>
          <w:szCs w:val="28"/>
        </w:rPr>
        <w:lastRenderedPageBreak/>
        <w:t xml:space="preserve">donde </w:t>
      </w:r>
      <w:r w:rsidR="00721B68">
        <w:rPr>
          <w:rFonts w:ascii="Times New Roman" w:hAnsi="Times New Roman" w:cs="Times New Roman"/>
          <w:sz w:val="28"/>
          <w:szCs w:val="28"/>
        </w:rPr>
        <w:t xml:space="preserve">se fabrican con especificaciones técnicas, que no estéticas. De su </w:t>
      </w:r>
      <w:r w:rsidR="00630EA6">
        <w:rPr>
          <w:rFonts w:ascii="Times New Roman" w:hAnsi="Times New Roman" w:cs="Times New Roman"/>
          <w:sz w:val="28"/>
          <w:szCs w:val="28"/>
        </w:rPr>
        <w:t>funcionalidad,</w:t>
      </w:r>
      <w:r w:rsidR="00721B68">
        <w:rPr>
          <w:rFonts w:ascii="Times New Roman" w:hAnsi="Times New Roman" w:cs="Times New Roman"/>
          <w:sz w:val="28"/>
          <w:szCs w:val="28"/>
        </w:rPr>
        <w:t xml:space="preserve"> diseño, ligereza y precisión, son las unidades militares y policiales las que los destinan a su uso, y no al revés.</w:t>
      </w:r>
    </w:p>
    <w:p w14:paraId="1DE4E7D0" w14:textId="01B4F181" w:rsidR="00C94FFA" w:rsidRDefault="00C94FFA" w:rsidP="002B4DE8">
      <w:pPr>
        <w:jc w:val="both"/>
        <w:rPr>
          <w:rFonts w:ascii="Times New Roman" w:hAnsi="Times New Roman" w:cs="Times New Roman"/>
          <w:sz w:val="28"/>
          <w:szCs w:val="28"/>
        </w:rPr>
      </w:pPr>
      <w:r>
        <w:rPr>
          <w:rFonts w:ascii="Times New Roman" w:hAnsi="Times New Roman" w:cs="Times New Roman"/>
          <w:sz w:val="28"/>
          <w:szCs w:val="28"/>
        </w:rPr>
        <w:t xml:space="preserve">EL motivo no es otro, que los fabricantes se rigen por sus usuarios y consumidores, y no existe en el mundo otro país con las restricciones y exigencias normativas que España (el cual, en teoría debería de armonizarse con el resto de </w:t>
      </w:r>
      <w:r w:rsidR="00721B68">
        <w:rPr>
          <w:rFonts w:ascii="Times New Roman" w:hAnsi="Times New Roman" w:cs="Times New Roman"/>
          <w:sz w:val="28"/>
          <w:szCs w:val="28"/>
        </w:rPr>
        <w:t>los miembros</w:t>
      </w:r>
      <w:r>
        <w:rPr>
          <w:rFonts w:ascii="Times New Roman" w:hAnsi="Times New Roman" w:cs="Times New Roman"/>
          <w:sz w:val="28"/>
          <w:szCs w:val="28"/>
        </w:rPr>
        <w:t xml:space="preserve"> de la Unión Europea</w:t>
      </w:r>
      <w:r w:rsidR="00524433">
        <w:rPr>
          <w:rFonts w:ascii="Times New Roman" w:hAnsi="Times New Roman" w:cs="Times New Roman"/>
          <w:sz w:val="28"/>
          <w:szCs w:val="28"/>
        </w:rPr>
        <w:t>),</w:t>
      </w:r>
      <w:r>
        <w:rPr>
          <w:rFonts w:ascii="Times New Roman" w:hAnsi="Times New Roman" w:cs="Times New Roman"/>
          <w:sz w:val="28"/>
          <w:szCs w:val="28"/>
        </w:rPr>
        <w:t xml:space="preserve"> y como es obvio, se rigen por el sistema universalmente conocido y que no requiere de explicación de Oferta y Demanda, realizando sus productos para el público</w:t>
      </w:r>
      <w:r w:rsidR="00630EA6">
        <w:rPr>
          <w:rFonts w:ascii="Times New Roman" w:hAnsi="Times New Roman" w:cs="Times New Roman"/>
          <w:sz w:val="28"/>
          <w:szCs w:val="28"/>
        </w:rPr>
        <w:t xml:space="preserve"> alrededor del planeta, y no para un país en concreto.</w:t>
      </w:r>
    </w:p>
    <w:p w14:paraId="3AF9B3CB" w14:textId="11877227" w:rsidR="00630EA6" w:rsidRDefault="00630EA6" w:rsidP="002B4DE8">
      <w:pPr>
        <w:jc w:val="both"/>
        <w:rPr>
          <w:rFonts w:ascii="Times New Roman" w:hAnsi="Times New Roman" w:cs="Times New Roman"/>
          <w:sz w:val="28"/>
          <w:szCs w:val="28"/>
        </w:rPr>
      </w:pPr>
      <w:r>
        <w:rPr>
          <w:rFonts w:ascii="Times New Roman" w:hAnsi="Times New Roman" w:cs="Times New Roman"/>
          <w:sz w:val="28"/>
          <w:szCs w:val="28"/>
        </w:rPr>
        <w:t>Tampoco se esgrime más información por parte de lo que la administración considera reformas, ni hay ningún documento o información que permita hacer alegaciones en condiciones, por lo que no se cumple lo que invocan los principios de elaboración de normas de: “</w:t>
      </w:r>
      <w:r w:rsidRPr="00630EA6">
        <w:rPr>
          <w:rFonts w:ascii="Times New Roman" w:hAnsi="Times New Roman" w:cs="Times New Roman"/>
          <w:i/>
          <w:iCs/>
          <w:sz w:val="28"/>
          <w:szCs w:val="28"/>
        </w:rPr>
        <w:t>La consulta, audiencia e información públicas reguladas en este artículo deberán realizarse de forma tal que los potenciales destinatarios de la norma y quienes realicen aportaciones sobre ella tengan la posibilidad de emitir su opinión, para lo cual deberán ponerse a su disposición los documentos necesarios, que serán claros, concisos y reunir toda la información precisa para poder pronunciarse sobre la materia</w:t>
      </w:r>
      <w:r>
        <w:rPr>
          <w:rFonts w:ascii="Times New Roman" w:hAnsi="Times New Roman" w:cs="Times New Roman"/>
          <w:sz w:val="28"/>
          <w:szCs w:val="28"/>
        </w:rPr>
        <w:t>” (art. 133.3 Ley 39/2015 de 1 de Octubre)</w:t>
      </w:r>
    </w:p>
    <w:p w14:paraId="00623109" w14:textId="3919CA1F" w:rsidR="00630EA6" w:rsidRDefault="00AC6E5D" w:rsidP="00AC6E5D">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QUINTA. Demandas del Sector. Unificación Licencias de Armas Tipo “D” y Tipo “E”</w:t>
      </w:r>
    </w:p>
    <w:p w14:paraId="3E2EAB41" w14:textId="1F6CB2DC" w:rsidR="00C045BA" w:rsidRPr="00C045BA" w:rsidRDefault="00C045BA" w:rsidP="00C045BA">
      <w:pPr>
        <w:shd w:val="clear" w:color="auto" w:fill="A2A2A2"/>
        <w:jc w:val="both"/>
        <w:rPr>
          <w:rFonts w:ascii="Times New Roman" w:hAnsi="Times New Roman" w:cs="Times New Roman"/>
          <w:sz w:val="28"/>
          <w:szCs w:val="28"/>
        </w:rPr>
      </w:pPr>
      <w:r w:rsidRPr="00C045BA">
        <w:rPr>
          <w:rFonts w:ascii="Times New Roman" w:hAnsi="Times New Roman" w:cs="Times New Roman"/>
          <w:sz w:val="28"/>
          <w:szCs w:val="28"/>
        </w:rPr>
        <w:t>Se unifica en una sola licencia los dos tipos actuales de licencias, la D para armas de caza mayor y la E para escopetas, que autorizan la adquisición, tenencia y uso de armas de caza.  Esta unificación elimina la gestión procedimental de unos 80.000 expedientes administrativos al año, sin menoscabo para la seguridad ciudadana ya que los requisitos establecidos para la concesión de las licencias y para la custodia de las armas no se modifican. Es evidente la gran descarga administrativa, tanto para el administrado como para la Administración, que supone esta medida.</w:t>
      </w:r>
    </w:p>
    <w:p w14:paraId="120FA3D2" w14:textId="1DBC7BE3" w:rsidR="00630EA6" w:rsidRDefault="00C045BA" w:rsidP="002B4DE8">
      <w:pPr>
        <w:jc w:val="both"/>
        <w:rPr>
          <w:rFonts w:ascii="Times New Roman" w:hAnsi="Times New Roman" w:cs="Times New Roman"/>
          <w:sz w:val="28"/>
          <w:szCs w:val="28"/>
        </w:rPr>
      </w:pPr>
      <w:r>
        <w:rPr>
          <w:rFonts w:ascii="Times New Roman" w:hAnsi="Times New Roman" w:cs="Times New Roman"/>
          <w:sz w:val="28"/>
          <w:szCs w:val="28"/>
        </w:rPr>
        <w:t>A priori puede parecer positiva la medida, y en realidad, la Directiva Europea en ningún momento hablar de tipos de licencia, sino de tipos de armas de fuego, las que requieren licencia y las que no.</w:t>
      </w:r>
    </w:p>
    <w:p w14:paraId="754F22C5" w14:textId="5446ADD6" w:rsidR="001C4D80" w:rsidRDefault="001C4D80" w:rsidP="002B4DE8">
      <w:pPr>
        <w:jc w:val="both"/>
        <w:rPr>
          <w:rFonts w:ascii="Times New Roman" w:hAnsi="Times New Roman" w:cs="Times New Roman"/>
          <w:sz w:val="28"/>
          <w:szCs w:val="28"/>
        </w:rPr>
      </w:pPr>
      <w:r>
        <w:rPr>
          <w:rFonts w:ascii="Times New Roman" w:hAnsi="Times New Roman" w:cs="Times New Roman"/>
          <w:sz w:val="28"/>
          <w:szCs w:val="28"/>
        </w:rPr>
        <w:t>No se habla de las condiciones y del desarrollo de dicha unificación, y de si se van a preservar</w:t>
      </w:r>
      <w:r w:rsidR="00514A81">
        <w:rPr>
          <w:rFonts w:ascii="Times New Roman" w:hAnsi="Times New Roman" w:cs="Times New Roman"/>
          <w:sz w:val="28"/>
          <w:szCs w:val="28"/>
        </w:rPr>
        <w:t xml:space="preserve"> las condiciones de las licencias actuales o futuras, o van a ser modificadas de alguna manera, algo que debiera de ser documentado o informado por la Administración Actuante.</w:t>
      </w:r>
    </w:p>
    <w:p w14:paraId="30470FE7" w14:textId="27505FCD" w:rsidR="00C045BA" w:rsidRDefault="00C045BA" w:rsidP="002B4DE8">
      <w:pPr>
        <w:jc w:val="both"/>
        <w:rPr>
          <w:rFonts w:ascii="Times New Roman" w:hAnsi="Times New Roman" w:cs="Times New Roman"/>
          <w:sz w:val="28"/>
          <w:szCs w:val="28"/>
        </w:rPr>
      </w:pPr>
      <w:r>
        <w:rPr>
          <w:rFonts w:ascii="Times New Roman" w:hAnsi="Times New Roman" w:cs="Times New Roman"/>
          <w:sz w:val="28"/>
          <w:szCs w:val="28"/>
        </w:rPr>
        <w:lastRenderedPageBreak/>
        <w:t xml:space="preserve">Por ello, se solicita expresamente que se unifiquen las licencias y se circunscriban al Anexo I de la Directiva 2021/555, en la que se detalla los tipos de armas que requieren de </w:t>
      </w:r>
      <w:r w:rsidR="00524433">
        <w:rPr>
          <w:rFonts w:ascii="Times New Roman" w:hAnsi="Times New Roman" w:cs="Times New Roman"/>
          <w:sz w:val="28"/>
          <w:szCs w:val="28"/>
        </w:rPr>
        <w:t>Autorización</w:t>
      </w:r>
      <w:r>
        <w:rPr>
          <w:rFonts w:ascii="Times New Roman" w:hAnsi="Times New Roman" w:cs="Times New Roman"/>
          <w:sz w:val="28"/>
          <w:szCs w:val="28"/>
        </w:rPr>
        <w:t xml:space="preserve"> (Licencia)</w:t>
      </w:r>
    </w:p>
    <w:p w14:paraId="715547CE" w14:textId="6763F435" w:rsidR="00C045BA" w:rsidRDefault="00C045BA" w:rsidP="002B4DE8">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09C8B92" wp14:editId="6566BB9C">
            <wp:extent cx="5400040" cy="2595245"/>
            <wp:effectExtent l="0" t="0" r="0" b="0"/>
            <wp:docPr id="957922797"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22797" name="Imagen 1" descr="Texto, Carta&#10;&#10;El contenido generado por IA puede ser incorrecto."/>
                    <pic:cNvPicPr/>
                  </pic:nvPicPr>
                  <pic:blipFill>
                    <a:blip r:embed="rId13">
                      <a:extLst>
                        <a:ext uri="{28A0092B-C50C-407E-A947-70E740481C1C}">
                          <a14:useLocalDpi xmlns:a14="http://schemas.microsoft.com/office/drawing/2010/main" val="0"/>
                        </a:ext>
                      </a:extLst>
                    </a:blip>
                    <a:stretch>
                      <a:fillRect/>
                    </a:stretch>
                  </pic:blipFill>
                  <pic:spPr>
                    <a:xfrm>
                      <a:off x="0" y="0"/>
                      <a:ext cx="5400040" cy="2595245"/>
                    </a:xfrm>
                    <a:prstGeom prst="rect">
                      <a:avLst/>
                    </a:prstGeom>
                  </pic:spPr>
                </pic:pic>
              </a:graphicData>
            </a:graphic>
          </wp:inline>
        </w:drawing>
      </w:r>
    </w:p>
    <w:p w14:paraId="2C8EB458" w14:textId="77777777" w:rsidR="005A018C" w:rsidRDefault="005A018C" w:rsidP="002B4DE8">
      <w:pPr>
        <w:jc w:val="both"/>
        <w:rPr>
          <w:rFonts w:ascii="Times New Roman" w:hAnsi="Times New Roman" w:cs="Times New Roman"/>
          <w:sz w:val="28"/>
          <w:szCs w:val="28"/>
        </w:rPr>
      </w:pPr>
    </w:p>
    <w:p w14:paraId="501C6003" w14:textId="5529DAE7" w:rsidR="00995FD0" w:rsidRDefault="00C045BA" w:rsidP="002B4DE8">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1BFC0E9" wp14:editId="3484A8D8">
            <wp:extent cx="5400040" cy="668020"/>
            <wp:effectExtent l="0" t="0" r="0" b="0"/>
            <wp:docPr id="288281378" name="Imagen 2"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81378" name="Imagen 2" descr="Interfaz de usuario gráfica, Texto&#10;&#10;El contenido generado por IA puede ser incorrecto."/>
                    <pic:cNvPicPr/>
                  </pic:nvPicPr>
                  <pic:blipFill>
                    <a:blip r:embed="rId14">
                      <a:extLst>
                        <a:ext uri="{28A0092B-C50C-407E-A947-70E740481C1C}">
                          <a14:useLocalDpi xmlns:a14="http://schemas.microsoft.com/office/drawing/2010/main" val="0"/>
                        </a:ext>
                      </a:extLst>
                    </a:blip>
                    <a:stretch>
                      <a:fillRect/>
                    </a:stretch>
                  </pic:blipFill>
                  <pic:spPr>
                    <a:xfrm>
                      <a:off x="0" y="0"/>
                      <a:ext cx="5400040" cy="668020"/>
                    </a:xfrm>
                    <a:prstGeom prst="rect">
                      <a:avLst/>
                    </a:prstGeom>
                  </pic:spPr>
                </pic:pic>
              </a:graphicData>
            </a:graphic>
          </wp:inline>
        </w:drawing>
      </w:r>
    </w:p>
    <w:p w14:paraId="72AB24F4" w14:textId="77777777" w:rsidR="00995FD0" w:rsidRDefault="00995FD0" w:rsidP="002B4DE8">
      <w:pPr>
        <w:jc w:val="both"/>
        <w:rPr>
          <w:rFonts w:ascii="Times New Roman" w:hAnsi="Times New Roman" w:cs="Times New Roman"/>
          <w:sz w:val="28"/>
          <w:szCs w:val="28"/>
        </w:rPr>
      </w:pPr>
    </w:p>
    <w:p w14:paraId="2F1DD5F7" w14:textId="35CB1CAD" w:rsidR="00530981" w:rsidRDefault="00524433" w:rsidP="002B4DE8">
      <w:pPr>
        <w:jc w:val="both"/>
        <w:rPr>
          <w:rFonts w:ascii="Times New Roman" w:hAnsi="Times New Roman" w:cs="Times New Roman"/>
          <w:sz w:val="28"/>
          <w:szCs w:val="28"/>
        </w:rPr>
      </w:pPr>
      <w:r>
        <w:rPr>
          <w:rFonts w:ascii="Times New Roman" w:hAnsi="Times New Roman" w:cs="Times New Roman"/>
          <w:sz w:val="28"/>
          <w:szCs w:val="28"/>
        </w:rPr>
        <w:t>Y,</w:t>
      </w:r>
      <w:r w:rsidR="00C045BA">
        <w:rPr>
          <w:rFonts w:ascii="Times New Roman" w:hAnsi="Times New Roman" w:cs="Times New Roman"/>
          <w:sz w:val="28"/>
          <w:szCs w:val="28"/>
        </w:rPr>
        <w:t xml:space="preserve"> por otro lado, se prescinda de la licencia, para las armas sujetas a Declaración, ya que como dicta y ha de transponerse la Directiva, se requiere de Declaración que no de Autorización, y en el vigente Reglamento de Armas</w:t>
      </w:r>
      <w:r w:rsidR="00B176DC">
        <w:rPr>
          <w:rFonts w:ascii="Times New Roman" w:hAnsi="Times New Roman" w:cs="Times New Roman"/>
          <w:sz w:val="28"/>
          <w:szCs w:val="28"/>
        </w:rPr>
        <w:t xml:space="preserve"> se exige licencia para absolutamente toda arma de fuego</w:t>
      </w:r>
      <w:r w:rsidR="00C045BA">
        <w:rPr>
          <w:rFonts w:ascii="Times New Roman" w:hAnsi="Times New Roman" w:cs="Times New Roman"/>
          <w:sz w:val="28"/>
          <w:szCs w:val="28"/>
        </w:rPr>
        <w:t>, cuando existe la Declaración Responsable en el art. 69 de la Ley 39/2015 de 1 de Octubre, siendo las armas de fuego siguientes las que no requieren de una licencia:</w:t>
      </w:r>
    </w:p>
    <w:p w14:paraId="69167A35" w14:textId="29EDA294" w:rsidR="00C045BA" w:rsidRDefault="00C045BA" w:rsidP="002B4DE8">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C82E282" wp14:editId="7759C861">
            <wp:extent cx="5400040" cy="1881505"/>
            <wp:effectExtent l="0" t="0" r="0" b="4445"/>
            <wp:docPr id="950002210" name="Imagen 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002210" name="Imagen 3" descr="Texto&#10;&#10;El contenido generado por IA puede ser incorrecto."/>
                    <pic:cNvPicPr/>
                  </pic:nvPicPr>
                  <pic:blipFill>
                    <a:blip r:embed="rId15">
                      <a:extLst>
                        <a:ext uri="{28A0092B-C50C-407E-A947-70E740481C1C}">
                          <a14:useLocalDpi xmlns:a14="http://schemas.microsoft.com/office/drawing/2010/main" val="0"/>
                        </a:ext>
                      </a:extLst>
                    </a:blip>
                    <a:stretch>
                      <a:fillRect/>
                    </a:stretch>
                  </pic:blipFill>
                  <pic:spPr>
                    <a:xfrm>
                      <a:off x="0" y="0"/>
                      <a:ext cx="5400040" cy="1881505"/>
                    </a:xfrm>
                    <a:prstGeom prst="rect">
                      <a:avLst/>
                    </a:prstGeom>
                  </pic:spPr>
                </pic:pic>
              </a:graphicData>
            </a:graphic>
          </wp:inline>
        </w:drawing>
      </w:r>
    </w:p>
    <w:p w14:paraId="5854F6B8" w14:textId="234C6F8D" w:rsidR="00530981" w:rsidRDefault="00B176DC" w:rsidP="002B4DE8">
      <w:pPr>
        <w:jc w:val="both"/>
        <w:rPr>
          <w:rFonts w:ascii="Times New Roman" w:hAnsi="Times New Roman" w:cs="Times New Roman"/>
          <w:sz w:val="28"/>
          <w:szCs w:val="28"/>
        </w:rPr>
      </w:pPr>
      <w:r>
        <w:rPr>
          <w:rFonts w:ascii="Times New Roman" w:hAnsi="Times New Roman" w:cs="Times New Roman"/>
          <w:sz w:val="28"/>
          <w:szCs w:val="28"/>
        </w:rPr>
        <w:lastRenderedPageBreak/>
        <w:t xml:space="preserve">Se </w:t>
      </w:r>
      <w:r w:rsidR="00524433">
        <w:rPr>
          <w:rFonts w:ascii="Times New Roman" w:hAnsi="Times New Roman" w:cs="Times New Roman"/>
          <w:sz w:val="28"/>
          <w:szCs w:val="28"/>
        </w:rPr>
        <w:t>pide,</w:t>
      </w:r>
      <w:r>
        <w:rPr>
          <w:rFonts w:ascii="Times New Roman" w:hAnsi="Times New Roman" w:cs="Times New Roman"/>
          <w:sz w:val="28"/>
          <w:szCs w:val="28"/>
        </w:rPr>
        <w:t xml:space="preserve"> por lo tanto, a la par que se establezca una única Licencia para las Armas de Tipo B, también unos procedimientos de declaración responsable para las Armas de Tipo C, a transponer al Derecho Interno.</w:t>
      </w:r>
    </w:p>
    <w:p w14:paraId="55391764" w14:textId="7CC4E2DF" w:rsidR="00B176DC" w:rsidRDefault="00524433" w:rsidP="002B4DE8">
      <w:pPr>
        <w:jc w:val="both"/>
        <w:rPr>
          <w:rFonts w:ascii="Times New Roman" w:hAnsi="Times New Roman" w:cs="Times New Roman"/>
          <w:sz w:val="28"/>
          <w:szCs w:val="28"/>
        </w:rPr>
      </w:pPr>
      <w:r>
        <w:rPr>
          <w:rFonts w:ascii="Times New Roman" w:hAnsi="Times New Roman" w:cs="Times New Roman"/>
          <w:sz w:val="28"/>
          <w:szCs w:val="28"/>
        </w:rPr>
        <w:t>SEXTA. -</w:t>
      </w:r>
      <w:r w:rsidR="001E49DE">
        <w:rPr>
          <w:rFonts w:ascii="Times New Roman" w:hAnsi="Times New Roman" w:cs="Times New Roman"/>
          <w:sz w:val="28"/>
          <w:szCs w:val="28"/>
        </w:rPr>
        <w:t xml:space="preserve"> Limitación de tenencia de Armas Largas Rayadas</w:t>
      </w:r>
    </w:p>
    <w:p w14:paraId="52F7FFCB" w14:textId="14487CE4" w:rsidR="00B176DC" w:rsidRDefault="00B176DC" w:rsidP="00B176DC">
      <w:pPr>
        <w:shd w:val="clear" w:color="auto" w:fill="A2A2A2"/>
        <w:jc w:val="both"/>
        <w:rPr>
          <w:rFonts w:ascii="Times New Roman" w:hAnsi="Times New Roman" w:cs="Times New Roman"/>
          <w:sz w:val="28"/>
          <w:szCs w:val="28"/>
        </w:rPr>
      </w:pPr>
      <w:r w:rsidRPr="00B176DC">
        <w:rPr>
          <w:rFonts w:ascii="Times New Roman" w:hAnsi="Times New Roman" w:cs="Times New Roman"/>
          <w:sz w:val="28"/>
          <w:szCs w:val="28"/>
        </w:rPr>
        <w:t>La combinación de las licencias exige, sin embargo, el establecimiento de un límite al número de armas que se pueden adquirir por particulares, porque la redacción vigente permite a las personas titulares de licencias de armas la adquisición de un número ilimitado de armas de la 2ª categoría, rifles de caza mayor, con el riesgo que conlleva para la seguridad ciudadana aquellos casos en los que hay verdaderos arsenales en domicilios particulares, aun a pesar de las exigidas medidas de custodia de tales armas. Debe salvaguardarse el derecho adquirido de los actuales titulares de licencias que tienen más armas de las que, a partir de ahora, se podrán adquirir</w:t>
      </w:r>
    </w:p>
    <w:p w14:paraId="675443CE" w14:textId="5773CC2F" w:rsidR="00B176DC" w:rsidRDefault="00B176DC" w:rsidP="00B176DC">
      <w:pPr>
        <w:jc w:val="both"/>
        <w:rPr>
          <w:rFonts w:ascii="Times New Roman" w:hAnsi="Times New Roman" w:cs="Times New Roman"/>
          <w:sz w:val="28"/>
          <w:szCs w:val="28"/>
        </w:rPr>
      </w:pPr>
      <w:r>
        <w:rPr>
          <w:rFonts w:ascii="Times New Roman" w:hAnsi="Times New Roman" w:cs="Times New Roman"/>
          <w:sz w:val="28"/>
          <w:szCs w:val="28"/>
        </w:rPr>
        <w:t>Esto no es una demanda de ningún sector, se aprovecha el bloque para introducir una deseadísima reforma por parte de la administración actuante, que no procede ni debe de prosperar.</w:t>
      </w:r>
    </w:p>
    <w:p w14:paraId="04FF1C1C" w14:textId="6CBC5503" w:rsidR="00B176DC" w:rsidRDefault="00B176DC" w:rsidP="00B176DC">
      <w:pPr>
        <w:jc w:val="both"/>
        <w:rPr>
          <w:rFonts w:ascii="Times New Roman" w:hAnsi="Times New Roman" w:cs="Times New Roman"/>
          <w:sz w:val="28"/>
          <w:szCs w:val="28"/>
        </w:rPr>
      </w:pPr>
      <w:r>
        <w:rPr>
          <w:rFonts w:ascii="Times New Roman" w:hAnsi="Times New Roman" w:cs="Times New Roman"/>
          <w:sz w:val="28"/>
          <w:szCs w:val="28"/>
        </w:rPr>
        <w:t>España, tiene conferido ese derecho concedido</w:t>
      </w:r>
      <w:r w:rsidR="00461F59">
        <w:rPr>
          <w:rFonts w:ascii="Times New Roman" w:hAnsi="Times New Roman" w:cs="Times New Roman"/>
          <w:sz w:val="28"/>
          <w:szCs w:val="28"/>
        </w:rPr>
        <w:t xml:space="preserve"> a los súbditos</w:t>
      </w:r>
      <w:r>
        <w:rPr>
          <w:rFonts w:ascii="Times New Roman" w:hAnsi="Times New Roman" w:cs="Times New Roman"/>
          <w:sz w:val="28"/>
          <w:szCs w:val="28"/>
        </w:rPr>
        <w:t xml:space="preserve"> desde tiempos inmemoriales, y como fuente del derecho</w:t>
      </w:r>
      <w:r w:rsidR="00461F59">
        <w:rPr>
          <w:rFonts w:ascii="Times New Roman" w:hAnsi="Times New Roman" w:cs="Times New Roman"/>
          <w:sz w:val="28"/>
          <w:szCs w:val="28"/>
        </w:rPr>
        <w:t xml:space="preserve"> y tradición consuetudinaria</w:t>
      </w:r>
      <w:r>
        <w:rPr>
          <w:rFonts w:ascii="Times New Roman" w:hAnsi="Times New Roman" w:cs="Times New Roman"/>
          <w:sz w:val="28"/>
          <w:szCs w:val="28"/>
        </w:rPr>
        <w:t xml:space="preserve"> así debe continuar, siendo una singularidad única en el vigente Derecho Interno</w:t>
      </w:r>
      <w:r w:rsidR="00461F59">
        <w:rPr>
          <w:rFonts w:ascii="Times New Roman" w:hAnsi="Times New Roman" w:cs="Times New Roman"/>
          <w:sz w:val="28"/>
          <w:szCs w:val="28"/>
        </w:rPr>
        <w:t xml:space="preserve"> y concretamente en Reglamento de Armas</w:t>
      </w:r>
      <w:r>
        <w:rPr>
          <w:rFonts w:ascii="Times New Roman" w:hAnsi="Times New Roman" w:cs="Times New Roman"/>
          <w:sz w:val="28"/>
          <w:szCs w:val="28"/>
        </w:rPr>
        <w:t>, y por ello debe de mantenerse.</w:t>
      </w:r>
    </w:p>
    <w:p w14:paraId="42E07C1A" w14:textId="561E3790" w:rsidR="00461F59" w:rsidRDefault="00461F59" w:rsidP="00B176DC">
      <w:pPr>
        <w:jc w:val="both"/>
        <w:rPr>
          <w:rFonts w:ascii="Times New Roman" w:hAnsi="Times New Roman" w:cs="Times New Roman"/>
          <w:sz w:val="28"/>
          <w:szCs w:val="28"/>
        </w:rPr>
      </w:pPr>
      <w:r>
        <w:rPr>
          <w:rFonts w:ascii="Times New Roman" w:hAnsi="Times New Roman" w:cs="Times New Roman"/>
          <w:sz w:val="28"/>
          <w:szCs w:val="28"/>
        </w:rPr>
        <w:t xml:space="preserve">La administración actuante, manifiesta un expreso deseo de recortar una concesión administrativa, por el mero hecho de hacerlo, ya que no se cumple ninguno de los requisitos que de forma reiterada se han explayado </w:t>
      </w:r>
      <w:r w:rsidR="00524433">
        <w:rPr>
          <w:rFonts w:ascii="Times New Roman" w:hAnsi="Times New Roman" w:cs="Times New Roman"/>
          <w:sz w:val="28"/>
          <w:szCs w:val="28"/>
        </w:rPr>
        <w:t>aquí,</w:t>
      </w:r>
      <w:r>
        <w:rPr>
          <w:rFonts w:ascii="Times New Roman" w:hAnsi="Times New Roman" w:cs="Times New Roman"/>
          <w:sz w:val="28"/>
          <w:szCs w:val="28"/>
        </w:rPr>
        <w:t xml:space="preserve"> presentes en el art. 133 de la Ley 39/2015, de 1 de </w:t>
      </w:r>
      <w:r w:rsidR="00524433">
        <w:rPr>
          <w:rFonts w:ascii="Times New Roman" w:hAnsi="Times New Roman" w:cs="Times New Roman"/>
          <w:sz w:val="28"/>
          <w:szCs w:val="28"/>
        </w:rPr>
        <w:t>octubre</w:t>
      </w:r>
      <w:r>
        <w:rPr>
          <w:rFonts w:ascii="Times New Roman" w:hAnsi="Times New Roman" w:cs="Times New Roman"/>
          <w:sz w:val="28"/>
          <w:szCs w:val="28"/>
        </w:rPr>
        <w:t xml:space="preserve">, y del art. 26 de la </w:t>
      </w:r>
      <w:r w:rsidRPr="00461F59">
        <w:rPr>
          <w:rFonts w:ascii="Times New Roman" w:hAnsi="Times New Roman" w:cs="Times New Roman"/>
          <w:sz w:val="28"/>
          <w:szCs w:val="28"/>
        </w:rPr>
        <w:t>Ley 50/1997, de 27 de noviembre, del Gobierno.</w:t>
      </w:r>
    </w:p>
    <w:p w14:paraId="5AAEE817" w14:textId="751A54F5" w:rsidR="00461F59" w:rsidRPr="00461F59" w:rsidRDefault="00461F59" w:rsidP="00461F59">
      <w:pPr>
        <w:pStyle w:val="Prrafodelista"/>
        <w:numPr>
          <w:ilvl w:val="0"/>
          <w:numId w:val="4"/>
        </w:numPr>
        <w:jc w:val="both"/>
        <w:rPr>
          <w:rFonts w:ascii="Times New Roman" w:hAnsi="Times New Roman" w:cs="Times New Roman"/>
          <w:sz w:val="28"/>
          <w:szCs w:val="28"/>
        </w:rPr>
      </w:pPr>
      <w:r w:rsidRPr="00461F59">
        <w:rPr>
          <w:rFonts w:ascii="Times New Roman" w:hAnsi="Times New Roman" w:cs="Times New Roman"/>
          <w:sz w:val="28"/>
          <w:szCs w:val="28"/>
        </w:rPr>
        <w:t>Los problemas que se pretenden solucionar con la iniciativa.</w:t>
      </w:r>
    </w:p>
    <w:p w14:paraId="63FCD23D" w14:textId="1A4B532D" w:rsidR="00461F59" w:rsidRDefault="00461F59" w:rsidP="00461F59">
      <w:pPr>
        <w:jc w:val="both"/>
        <w:rPr>
          <w:rFonts w:ascii="Times New Roman" w:hAnsi="Times New Roman" w:cs="Times New Roman"/>
          <w:sz w:val="28"/>
          <w:szCs w:val="28"/>
        </w:rPr>
      </w:pPr>
      <w:r>
        <w:rPr>
          <w:rFonts w:ascii="Times New Roman" w:hAnsi="Times New Roman" w:cs="Times New Roman"/>
          <w:sz w:val="28"/>
          <w:szCs w:val="28"/>
        </w:rPr>
        <w:t>No se pretende solucionar ningún problema, porque nunca lo hubo, a tal efecto, la administración actuante debería aclarar con exquisita precisión, que considera un “arsenal particular”, y que considera un problema dimanante de la Existencia de dicho “arsenal”.</w:t>
      </w:r>
    </w:p>
    <w:p w14:paraId="662E6E03" w14:textId="77777777" w:rsidR="001D2ED8" w:rsidRDefault="001D2ED8" w:rsidP="00461F59">
      <w:pPr>
        <w:jc w:val="both"/>
        <w:rPr>
          <w:rFonts w:ascii="Times New Roman" w:hAnsi="Times New Roman" w:cs="Times New Roman"/>
          <w:sz w:val="28"/>
          <w:szCs w:val="28"/>
        </w:rPr>
      </w:pPr>
      <w:r w:rsidRPr="001D2ED8">
        <w:rPr>
          <w:rFonts w:ascii="Times New Roman" w:hAnsi="Times New Roman" w:cs="Times New Roman"/>
          <w:sz w:val="28"/>
          <w:szCs w:val="28"/>
        </w:rPr>
        <w:t>La doctrina constitucional exige el triple juicio de proporcionalidad (STC 66/1995; STC 55/1996)</w:t>
      </w:r>
    </w:p>
    <w:p w14:paraId="7EBA9651" w14:textId="572590D8" w:rsidR="001D2ED8" w:rsidRDefault="001D2ED8" w:rsidP="00461F59">
      <w:pPr>
        <w:jc w:val="both"/>
        <w:rPr>
          <w:rFonts w:ascii="Times New Roman" w:hAnsi="Times New Roman" w:cs="Times New Roman"/>
          <w:sz w:val="28"/>
          <w:szCs w:val="28"/>
        </w:rPr>
      </w:pPr>
      <w:r w:rsidRPr="001D2ED8">
        <w:rPr>
          <w:rFonts w:ascii="Times New Roman" w:hAnsi="Times New Roman" w:cs="Times New Roman"/>
          <w:sz w:val="28"/>
          <w:szCs w:val="28"/>
        </w:rPr>
        <w:t xml:space="preserve">1. Idoneidad </w:t>
      </w:r>
    </w:p>
    <w:p w14:paraId="493989A5" w14:textId="77777777" w:rsidR="001D2ED8" w:rsidRDefault="001D2ED8" w:rsidP="00461F59">
      <w:pPr>
        <w:jc w:val="both"/>
        <w:rPr>
          <w:rFonts w:ascii="Times New Roman" w:hAnsi="Times New Roman" w:cs="Times New Roman"/>
          <w:sz w:val="28"/>
          <w:szCs w:val="28"/>
        </w:rPr>
      </w:pPr>
      <w:r w:rsidRPr="001D2ED8">
        <w:rPr>
          <w:rFonts w:ascii="Times New Roman" w:hAnsi="Times New Roman" w:cs="Times New Roman"/>
          <w:sz w:val="28"/>
          <w:szCs w:val="28"/>
        </w:rPr>
        <w:t xml:space="preserve">2. Necesidad </w:t>
      </w:r>
    </w:p>
    <w:p w14:paraId="3D44E7B0" w14:textId="77777777" w:rsidR="001D2ED8" w:rsidRDefault="001D2ED8" w:rsidP="00461F59">
      <w:pPr>
        <w:jc w:val="both"/>
        <w:rPr>
          <w:rFonts w:ascii="Times New Roman" w:hAnsi="Times New Roman" w:cs="Times New Roman"/>
          <w:sz w:val="28"/>
          <w:szCs w:val="28"/>
        </w:rPr>
      </w:pPr>
      <w:r w:rsidRPr="001D2ED8">
        <w:rPr>
          <w:rFonts w:ascii="Times New Roman" w:hAnsi="Times New Roman" w:cs="Times New Roman"/>
          <w:sz w:val="28"/>
          <w:szCs w:val="28"/>
        </w:rPr>
        <w:t xml:space="preserve">3. Proporcionalidad en sentido estricto </w:t>
      </w:r>
    </w:p>
    <w:p w14:paraId="329CFBE0" w14:textId="77777777" w:rsidR="001D2ED8" w:rsidRDefault="001D2ED8" w:rsidP="00461F59">
      <w:pPr>
        <w:jc w:val="both"/>
        <w:rPr>
          <w:rFonts w:ascii="Times New Roman" w:hAnsi="Times New Roman" w:cs="Times New Roman"/>
          <w:sz w:val="28"/>
          <w:szCs w:val="28"/>
        </w:rPr>
      </w:pPr>
      <w:r w:rsidRPr="001D2ED8">
        <w:rPr>
          <w:rFonts w:ascii="Times New Roman" w:hAnsi="Times New Roman" w:cs="Times New Roman"/>
          <w:sz w:val="28"/>
          <w:szCs w:val="28"/>
        </w:rPr>
        <w:lastRenderedPageBreak/>
        <w:t>No consta</w:t>
      </w:r>
      <w:r>
        <w:rPr>
          <w:rFonts w:ascii="Times New Roman" w:hAnsi="Times New Roman" w:cs="Times New Roman"/>
          <w:sz w:val="28"/>
          <w:szCs w:val="28"/>
        </w:rPr>
        <w:t xml:space="preserve"> en la documentación/informes que deberían de haberse adjuntado al anteproyecto</w:t>
      </w:r>
    </w:p>
    <w:p w14:paraId="41BCF53C" w14:textId="4127C9A1" w:rsidR="001D2ED8" w:rsidRDefault="001D2ED8" w:rsidP="00461F59">
      <w:pPr>
        <w:jc w:val="both"/>
        <w:rPr>
          <w:rFonts w:ascii="Times New Roman" w:hAnsi="Times New Roman" w:cs="Times New Roman"/>
          <w:sz w:val="28"/>
          <w:szCs w:val="28"/>
        </w:rPr>
      </w:pPr>
      <w:r w:rsidRPr="001D2ED8">
        <w:rPr>
          <w:rFonts w:ascii="Times New Roman" w:hAnsi="Times New Roman" w:cs="Times New Roman"/>
          <w:sz w:val="28"/>
          <w:szCs w:val="28"/>
        </w:rPr>
        <w:t>Estudio estadístico que vincule número de rifles legales</w:t>
      </w:r>
      <w:r>
        <w:rPr>
          <w:rFonts w:ascii="Times New Roman" w:hAnsi="Times New Roman" w:cs="Times New Roman"/>
          <w:sz w:val="28"/>
          <w:szCs w:val="28"/>
        </w:rPr>
        <w:t>, de los que se pretende considerar “arsenales”,</w:t>
      </w:r>
      <w:r w:rsidRPr="001D2ED8">
        <w:rPr>
          <w:rFonts w:ascii="Times New Roman" w:hAnsi="Times New Roman" w:cs="Times New Roman"/>
          <w:sz w:val="28"/>
          <w:szCs w:val="28"/>
        </w:rPr>
        <w:t xml:space="preserve"> con aumento de criminalidad</w:t>
      </w:r>
      <w:r>
        <w:rPr>
          <w:rFonts w:ascii="Times New Roman" w:hAnsi="Times New Roman" w:cs="Times New Roman"/>
          <w:sz w:val="28"/>
          <w:szCs w:val="28"/>
        </w:rPr>
        <w:t>, y que no sea algo puntual</w:t>
      </w:r>
      <w:r w:rsidRPr="001D2ED8">
        <w:rPr>
          <w:rFonts w:ascii="Times New Roman" w:hAnsi="Times New Roman" w:cs="Times New Roman"/>
          <w:sz w:val="28"/>
          <w:szCs w:val="28"/>
        </w:rPr>
        <w:t>.</w:t>
      </w:r>
    </w:p>
    <w:p w14:paraId="18F3DA1F" w14:textId="77777777" w:rsidR="001D2ED8" w:rsidRDefault="001D2ED8" w:rsidP="00461F59">
      <w:pPr>
        <w:jc w:val="both"/>
        <w:rPr>
          <w:rFonts w:ascii="Times New Roman" w:hAnsi="Times New Roman" w:cs="Times New Roman"/>
          <w:sz w:val="28"/>
          <w:szCs w:val="28"/>
        </w:rPr>
      </w:pPr>
      <w:r w:rsidRPr="001D2ED8">
        <w:rPr>
          <w:rFonts w:ascii="Times New Roman" w:hAnsi="Times New Roman" w:cs="Times New Roman"/>
          <w:sz w:val="28"/>
          <w:szCs w:val="28"/>
        </w:rPr>
        <w:t xml:space="preserve">Informe técnico que demuestre riesgo estructural derivado del número de armas legalmente registradas. </w:t>
      </w:r>
    </w:p>
    <w:p w14:paraId="06D0AD16" w14:textId="7E98261C" w:rsidR="001D2ED8" w:rsidRDefault="001D2ED8" w:rsidP="00461F59">
      <w:pPr>
        <w:jc w:val="both"/>
        <w:rPr>
          <w:rFonts w:ascii="Times New Roman" w:hAnsi="Times New Roman" w:cs="Times New Roman"/>
          <w:sz w:val="28"/>
          <w:szCs w:val="28"/>
        </w:rPr>
      </w:pPr>
      <w:r w:rsidRPr="001D2ED8">
        <w:rPr>
          <w:rFonts w:ascii="Times New Roman" w:hAnsi="Times New Roman" w:cs="Times New Roman"/>
          <w:sz w:val="28"/>
          <w:szCs w:val="28"/>
        </w:rPr>
        <w:t xml:space="preserve">En ausencia de tales elementos, la medida </w:t>
      </w:r>
      <w:r>
        <w:rPr>
          <w:rFonts w:ascii="Times New Roman" w:hAnsi="Times New Roman" w:cs="Times New Roman"/>
          <w:sz w:val="28"/>
          <w:szCs w:val="28"/>
        </w:rPr>
        <w:t>resulta a todas luces,</w:t>
      </w:r>
      <w:r w:rsidRPr="001D2ED8">
        <w:rPr>
          <w:rFonts w:ascii="Times New Roman" w:hAnsi="Times New Roman" w:cs="Times New Roman"/>
          <w:sz w:val="28"/>
          <w:szCs w:val="28"/>
        </w:rPr>
        <w:t xml:space="preserve"> desproporcionada</w:t>
      </w:r>
    </w:p>
    <w:p w14:paraId="26DCD25D" w14:textId="7B0E4047" w:rsidR="00461F59" w:rsidRPr="00461F59" w:rsidRDefault="00461F59" w:rsidP="00461F59">
      <w:pPr>
        <w:jc w:val="both"/>
        <w:rPr>
          <w:rFonts w:ascii="Times New Roman" w:hAnsi="Times New Roman" w:cs="Times New Roman"/>
          <w:sz w:val="28"/>
          <w:szCs w:val="28"/>
        </w:rPr>
      </w:pPr>
      <w:r>
        <w:rPr>
          <w:rFonts w:ascii="Times New Roman" w:hAnsi="Times New Roman" w:cs="Times New Roman"/>
          <w:sz w:val="28"/>
          <w:szCs w:val="28"/>
        </w:rPr>
        <w:t xml:space="preserve">A tal efecto, se requiere a la administración que de forma fehaciente y conforme a derecho, muestre las estadísticas concretas, de los problemas, inspecciones, sanciones, expedientes sancionadores, número de diligencias judiciales que dimanan del uso de dichos arsenales, los índices criminológicos de las personas y armas de fuego que formar parte de </w:t>
      </w:r>
      <w:r w:rsidR="00524433">
        <w:rPr>
          <w:rFonts w:ascii="Times New Roman" w:hAnsi="Times New Roman" w:cs="Times New Roman"/>
          <w:sz w:val="28"/>
          <w:szCs w:val="28"/>
        </w:rPr>
        <w:t>estos</w:t>
      </w:r>
      <w:r>
        <w:rPr>
          <w:rFonts w:ascii="Times New Roman" w:hAnsi="Times New Roman" w:cs="Times New Roman"/>
          <w:sz w:val="28"/>
          <w:szCs w:val="28"/>
        </w:rPr>
        <w:t xml:space="preserve"> por uso indebido o ilegítimo, así como de incidentes surgidos de lo que considera “arsenales” en manos de particulares.</w:t>
      </w:r>
    </w:p>
    <w:p w14:paraId="030A9D31" w14:textId="1F1DCA97" w:rsidR="00461F59" w:rsidRPr="0028603F" w:rsidRDefault="00461F59" w:rsidP="0028603F">
      <w:pPr>
        <w:pStyle w:val="Prrafodelista"/>
        <w:numPr>
          <w:ilvl w:val="0"/>
          <w:numId w:val="4"/>
        </w:numPr>
        <w:jc w:val="both"/>
        <w:rPr>
          <w:rFonts w:ascii="Times New Roman" w:hAnsi="Times New Roman" w:cs="Times New Roman"/>
          <w:sz w:val="28"/>
          <w:szCs w:val="28"/>
        </w:rPr>
      </w:pPr>
      <w:r w:rsidRPr="0028603F">
        <w:rPr>
          <w:rFonts w:ascii="Times New Roman" w:hAnsi="Times New Roman" w:cs="Times New Roman"/>
          <w:sz w:val="28"/>
          <w:szCs w:val="28"/>
        </w:rPr>
        <w:t>La necesidad y oportunidad de su aprobación.</w:t>
      </w:r>
    </w:p>
    <w:p w14:paraId="71DBFA4A" w14:textId="032A119A" w:rsidR="0028603F" w:rsidRDefault="0028603F" w:rsidP="0028603F">
      <w:pPr>
        <w:jc w:val="both"/>
        <w:rPr>
          <w:rFonts w:ascii="Times New Roman" w:hAnsi="Times New Roman" w:cs="Times New Roman"/>
          <w:sz w:val="28"/>
          <w:szCs w:val="28"/>
        </w:rPr>
      </w:pPr>
      <w:r>
        <w:rPr>
          <w:rFonts w:ascii="Times New Roman" w:hAnsi="Times New Roman" w:cs="Times New Roman"/>
          <w:sz w:val="28"/>
          <w:szCs w:val="28"/>
        </w:rPr>
        <w:t>De la nula existencia de incidentes con aquello que la administración denomin</w:t>
      </w:r>
      <w:r w:rsidR="005811AD">
        <w:rPr>
          <w:rFonts w:ascii="Times New Roman" w:hAnsi="Times New Roman" w:cs="Times New Roman"/>
          <w:sz w:val="28"/>
          <w:szCs w:val="28"/>
        </w:rPr>
        <w:t>a arsenales en manos de particulares, el implantar una medida supone simplemente una exigencia producto de la supremacía procesal y el expreso deseo de la Autoridad que controla las Armas de Fuego.</w:t>
      </w:r>
    </w:p>
    <w:p w14:paraId="01DE5208" w14:textId="4EDEAEB6" w:rsidR="005811AD" w:rsidRDefault="005811AD" w:rsidP="0028603F">
      <w:pPr>
        <w:jc w:val="both"/>
        <w:rPr>
          <w:rFonts w:ascii="Times New Roman" w:hAnsi="Times New Roman" w:cs="Times New Roman"/>
          <w:sz w:val="28"/>
          <w:szCs w:val="28"/>
        </w:rPr>
      </w:pPr>
      <w:r>
        <w:rPr>
          <w:rFonts w:ascii="Times New Roman" w:hAnsi="Times New Roman" w:cs="Times New Roman"/>
          <w:sz w:val="28"/>
          <w:szCs w:val="28"/>
        </w:rPr>
        <w:t xml:space="preserve">Como se ha señalado anteriormente, respecto de los principios de elaboración de normas, el Tribunal Constitucional ha señalado que </w:t>
      </w:r>
      <w:r w:rsidRPr="005811AD">
        <w:rPr>
          <w:rFonts w:ascii="Times New Roman" w:hAnsi="Times New Roman" w:cs="Times New Roman"/>
          <w:sz w:val="28"/>
          <w:szCs w:val="28"/>
        </w:rPr>
        <w:t>ha señalado que la potestad reglamentaria no puede ejercerse con criterios arbitrarios o carentes de conexión racional con el fin perseguido (STC 150/1990)</w:t>
      </w:r>
    </w:p>
    <w:p w14:paraId="7DECC08C" w14:textId="59494DC4" w:rsidR="005811AD" w:rsidRPr="0028603F" w:rsidRDefault="005811AD" w:rsidP="0028603F">
      <w:pPr>
        <w:jc w:val="both"/>
        <w:rPr>
          <w:rFonts w:ascii="Times New Roman" w:hAnsi="Times New Roman" w:cs="Times New Roman"/>
          <w:sz w:val="28"/>
          <w:szCs w:val="28"/>
        </w:rPr>
      </w:pPr>
      <w:r>
        <w:rPr>
          <w:rFonts w:ascii="Times New Roman" w:hAnsi="Times New Roman" w:cs="Times New Roman"/>
          <w:sz w:val="28"/>
          <w:szCs w:val="28"/>
        </w:rPr>
        <w:t xml:space="preserve">En la misma línea, que </w:t>
      </w:r>
      <w:r w:rsidRPr="005811AD">
        <w:rPr>
          <w:rFonts w:ascii="Times New Roman" w:hAnsi="Times New Roman" w:cs="Times New Roman"/>
          <w:sz w:val="28"/>
          <w:szCs w:val="28"/>
        </w:rPr>
        <w:t>la exigencia de claridad y previsibilidad normativa forma parte del contenido esencial del principio de seguridad jurídica (STC 104/2000)</w:t>
      </w:r>
    </w:p>
    <w:p w14:paraId="493D0451" w14:textId="75C45607" w:rsidR="00461F59" w:rsidRPr="005256B1" w:rsidRDefault="00461F59" w:rsidP="005256B1">
      <w:pPr>
        <w:pStyle w:val="Prrafodelista"/>
        <w:numPr>
          <w:ilvl w:val="0"/>
          <w:numId w:val="4"/>
        </w:numPr>
        <w:jc w:val="both"/>
        <w:rPr>
          <w:rFonts w:ascii="Times New Roman" w:hAnsi="Times New Roman" w:cs="Times New Roman"/>
          <w:sz w:val="28"/>
          <w:szCs w:val="28"/>
        </w:rPr>
      </w:pPr>
      <w:r w:rsidRPr="005256B1">
        <w:rPr>
          <w:rFonts w:ascii="Times New Roman" w:hAnsi="Times New Roman" w:cs="Times New Roman"/>
          <w:sz w:val="28"/>
          <w:szCs w:val="28"/>
        </w:rPr>
        <w:t>Los objetivos de la norma.</w:t>
      </w:r>
    </w:p>
    <w:p w14:paraId="719C9E53" w14:textId="5855FD86" w:rsidR="001D2ED8" w:rsidRDefault="001D2ED8" w:rsidP="001D2ED8">
      <w:pPr>
        <w:jc w:val="both"/>
        <w:rPr>
          <w:rFonts w:ascii="Times New Roman" w:hAnsi="Times New Roman" w:cs="Times New Roman"/>
          <w:sz w:val="28"/>
          <w:szCs w:val="28"/>
        </w:rPr>
      </w:pPr>
      <w:r>
        <w:rPr>
          <w:rFonts w:ascii="Times New Roman" w:hAnsi="Times New Roman" w:cs="Times New Roman"/>
          <w:sz w:val="28"/>
          <w:szCs w:val="28"/>
        </w:rPr>
        <w:t>No es otro que una restricción más,</w:t>
      </w:r>
      <w:r w:rsidR="005256B1">
        <w:rPr>
          <w:rFonts w:ascii="Times New Roman" w:hAnsi="Times New Roman" w:cs="Times New Roman"/>
          <w:sz w:val="28"/>
          <w:szCs w:val="28"/>
        </w:rPr>
        <w:t xml:space="preserve"> unido a un férreo control de las armas legales, aunque se encuentren guardadas como marca la ley, una restricción y recorte</w:t>
      </w:r>
      <w:r>
        <w:rPr>
          <w:rFonts w:ascii="Times New Roman" w:hAnsi="Times New Roman" w:cs="Times New Roman"/>
          <w:sz w:val="28"/>
          <w:szCs w:val="28"/>
        </w:rPr>
        <w:t xml:space="preserve"> </w:t>
      </w:r>
      <w:r w:rsidR="00C94B74">
        <w:rPr>
          <w:rFonts w:ascii="Times New Roman" w:hAnsi="Times New Roman" w:cs="Times New Roman"/>
          <w:sz w:val="28"/>
          <w:szCs w:val="28"/>
        </w:rPr>
        <w:t xml:space="preserve">sin fundamento jurídico alguno que la apoye, </w:t>
      </w:r>
      <w:r w:rsidR="00524433">
        <w:rPr>
          <w:rFonts w:ascii="Times New Roman" w:hAnsi="Times New Roman" w:cs="Times New Roman"/>
          <w:sz w:val="28"/>
          <w:szCs w:val="28"/>
        </w:rPr>
        <w:t>y,</w:t>
      </w:r>
      <w:r w:rsidR="00C94B74">
        <w:rPr>
          <w:rFonts w:ascii="Times New Roman" w:hAnsi="Times New Roman" w:cs="Times New Roman"/>
          <w:sz w:val="28"/>
          <w:szCs w:val="28"/>
        </w:rPr>
        <w:t xml:space="preserve"> por lo tanto, arbitrarieda</w:t>
      </w:r>
      <w:r w:rsidR="005256B1">
        <w:rPr>
          <w:rFonts w:ascii="Times New Roman" w:hAnsi="Times New Roman" w:cs="Times New Roman"/>
          <w:sz w:val="28"/>
          <w:szCs w:val="28"/>
        </w:rPr>
        <w:t xml:space="preserve">d, así las cosas, en la referida </w:t>
      </w:r>
      <w:r w:rsidR="00F50AF3" w:rsidRPr="00F50AF3">
        <w:rPr>
          <w:rFonts w:ascii="Times New Roman" w:hAnsi="Times New Roman" w:cs="Times New Roman"/>
          <w:sz w:val="28"/>
          <w:szCs w:val="28"/>
        </w:rPr>
        <w:t>Sentencia 104/2000, de 13 de abril de 2000</w:t>
      </w:r>
      <w:r w:rsidR="005256B1">
        <w:rPr>
          <w:rFonts w:ascii="Times New Roman" w:hAnsi="Times New Roman" w:cs="Times New Roman"/>
          <w:sz w:val="28"/>
          <w:szCs w:val="28"/>
        </w:rPr>
        <w:t xml:space="preserve"> del Tribunal Constitucional, fundó jurídicamente lo siguiente:</w:t>
      </w:r>
    </w:p>
    <w:p w14:paraId="5DE6A53B" w14:textId="5A042AC6" w:rsidR="005256B1" w:rsidRPr="001D2ED8" w:rsidRDefault="005256B1" w:rsidP="001D2ED8">
      <w:pPr>
        <w:jc w:val="both"/>
        <w:rPr>
          <w:rFonts w:ascii="Times New Roman" w:hAnsi="Times New Roman" w:cs="Times New Roman"/>
          <w:sz w:val="28"/>
          <w:szCs w:val="28"/>
        </w:rPr>
      </w:pPr>
      <w:r>
        <w:rPr>
          <w:rFonts w:ascii="Times New Roman" w:hAnsi="Times New Roman" w:cs="Times New Roman"/>
          <w:sz w:val="28"/>
          <w:szCs w:val="28"/>
        </w:rPr>
        <w:lastRenderedPageBreak/>
        <w:t>“</w:t>
      </w:r>
      <w:r w:rsidRPr="005256B1">
        <w:rPr>
          <w:rFonts w:ascii="Times New Roman" w:hAnsi="Times New Roman" w:cs="Times New Roman"/>
          <w:sz w:val="28"/>
          <w:szCs w:val="28"/>
        </w:rPr>
        <w:t>Hemos dicho, con relación al principio de seguridad jurídica, que ésta viene a ser la suma de certeza y legalidad, jerarquía y publicidad normativa, irretroactividad de lo no favorable, interdicción de la arbitrariedad, equilibrada de tal suerte que permita promover, en el orden jurídico, la justicia y la igualdad, en libertad (SSTC 27/1981, de 20 de julio, FJ 10 ; 71/1982, de 30 de noviembre, FJ 4; 126/1987, de 16 de julio, FJ 7 ; 227/1988, de 29 de noviembre, FJ 10 ; 65/1990, de 5 de abril, FJ 6; 150/1990, de 4 de octubre, FJ 8 ; 173/1996, de 31 de octubre, FJ 3 ; y 225/1998, de 25 de noviembre, FJ 2). Es decir, la seguridad jurídica entendida como la certeza sobre el ordenamiento jurídico aplicable y los intereses jurídicamente tutelados (STC 15/1986, de 31 de enero, FJ 1), como la expectativa razonablemente fundada del ciudadano en cuál ha de ser la actuación del poder en la aplicación del Derecho (STC 36/1991, de 14 de febrero, FJ 5), como la claridad del legislador y no la confusión normativa (STC 46/1990, de 15 de marzo, FJ 4). En suma, sólo si, en el ordenamiento jurídico en que se insertan y teniendo en cuenta las reglas de interpretación admisibles en Derecho, el contenido o las omisiones de un texto normativo produjeran confusión o dudas que generaran en sus destinatarios una incertidumbre razonablemente insuperable acerca de la conducta exigible para su cumplimiento o sobre la previsibilidad de sus efectos, podría concluirse que la norma infringe el principio de seguridad jurídica (SSTC 150/1990, de 4 de octubre, FJ 8 ; 142/1993, de 22 de abril, FJ 4 ; y 212/1996, de 19 de diciembre, FJ 15).</w:t>
      </w:r>
      <w:r>
        <w:rPr>
          <w:rFonts w:ascii="Times New Roman" w:hAnsi="Times New Roman" w:cs="Times New Roman"/>
          <w:sz w:val="28"/>
          <w:szCs w:val="28"/>
        </w:rPr>
        <w:t>”</w:t>
      </w:r>
    </w:p>
    <w:p w14:paraId="44DB7503" w14:textId="25E599ED" w:rsidR="00461F59" w:rsidRPr="005256B1" w:rsidRDefault="00461F59" w:rsidP="005256B1">
      <w:pPr>
        <w:pStyle w:val="Prrafodelista"/>
        <w:numPr>
          <w:ilvl w:val="0"/>
          <w:numId w:val="4"/>
        </w:numPr>
        <w:jc w:val="both"/>
        <w:rPr>
          <w:rFonts w:ascii="Times New Roman" w:hAnsi="Times New Roman" w:cs="Times New Roman"/>
          <w:sz w:val="28"/>
          <w:szCs w:val="28"/>
        </w:rPr>
      </w:pPr>
      <w:r w:rsidRPr="005256B1">
        <w:rPr>
          <w:rFonts w:ascii="Times New Roman" w:hAnsi="Times New Roman" w:cs="Times New Roman"/>
          <w:sz w:val="28"/>
          <w:szCs w:val="28"/>
        </w:rPr>
        <w:t>Las posibles soluciones alternativas regulatorias y no regulatorias.</w:t>
      </w:r>
    </w:p>
    <w:p w14:paraId="1C5FE51F" w14:textId="7333A0EF" w:rsidR="005256B1" w:rsidRDefault="005256B1" w:rsidP="005256B1">
      <w:pPr>
        <w:jc w:val="both"/>
        <w:rPr>
          <w:rFonts w:ascii="Times New Roman" w:hAnsi="Times New Roman" w:cs="Times New Roman"/>
          <w:sz w:val="28"/>
          <w:szCs w:val="28"/>
        </w:rPr>
      </w:pPr>
      <w:r>
        <w:rPr>
          <w:rFonts w:ascii="Times New Roman" w:hAnsi="Times New Roman" w:cs="Times New Roman"/>
          <w:sz w:val="28"/>
          <w:szCs w:val="28"/>
        </w:rPr>
        <w:t xml:space="preserve">Existe una solución más que factible, más que proporcionada, </w:t>
      </w:r>
      <w:r w:rsidR="00524433">
        <w:rPr>
          <w:rFonts w:ascii="Times New Roman" w:hAnsi="Times New Roman" w:cs="Times New Roman"/>
          <w:sz w:val="28"/>
          <w:szCs w:val="28"/>
        </w:rPr>
        <w:t>justa,</w:t>
      </w:r>
      <w:r>
        <w:rPr>
          <w:rFonts w:ascii="Times New Roman" w:hAnsi="Times New Roman" w:cs="Times New Roman"/>
          <w:sz w:val="28"/>
          <w:szCs w:val="28"/>
        </w:rPr>
        <w:t xml:space="preserve"> equilibrada, y que no </w:t>
      </w:r>
      <w:r w:rsidR="00A166AC">
        <w:rPr>
          <w:rFonts w:ascii="Times New Roman" w:hAnsi="Times New Roman" w:cs="Times New Roman"/>
          <w:sz w:val="28"/>
          <w:szCs w:val="28"/>
        </w:rPr>
        <w:t>i</w:t>
      </w:r>
      <w:r>
        <w:rPr>
          <w:rFonts w:ascii="Times New Roman" w:hAnsi="Times New Roman" w:cs="Times New Roman"/>
          <w:sz w:val="28"/>
          <w:szCs w:val="28"/>
        </w:rPr>
        <w:t>ncide ni compromete derecho alguno, y que de paso ya se encuentra en la Directiva Europea que se debe de transponer.</w:t>
      </w:r>
    </w:p>
    <w:p w14:paraId="6ED99E99" w14:textId="156E3D1A" w:rsidR="00F50AF3" w:rsidRDefault="00173BBF" w:rsidP="005256B1">
      <w:pPr>
        <w:jc w:val="both"/>
        <w:rPr>
          <w:rFonts w:ascii="Times New Roman" w:hAnsi="Times New Roman" w:cs="Times New Roman"/>
          <w:sz w:val="28"/>
          <w:szCs w:val="28"/>
        </w:rPr>
      </w:pPr>
      <w:r w:rsidRPr="00173BBF">
        <w:rPr>
          <w:rFonts w:ascii="Times New Roman" w:hAnsi="Times New Roman" w:cs="Times New Roman"/>
          <w:sz w:val="28"/>
          <w:szCs w:val="28"/>
        </w:rPr>
        <w:t>La mayoría de “arsenales” en manos de particulares, corresponden a auténticas reliquias históricas, piezas de colección irreemplazables, y se trata de armas de interés histórico, muchas de ellas de inicios del Siglo XX, y que han sido utilizadas, entre otras, en la I Guerra Mundial, la II Guerra mundial, la Guerra Civil Española, incluso varios de ellos han formado parte del armamento oficial de las Instituciones Armadas del Reino de España.</w:t>
      </w:r>
      <w:r>
        <w:rPr>
          <w:rFonts w:ascii="Times New Roman" w:hAnsi="Times New Roman" w:cs="Times New Roman"/>
          <w:sz w:val="28"/>
          <w:szCs w:val="28"/>
        </w:rPr>
        <w:t xml:space="preserve"> </w:t>
      </w:r>
      <w:r w:rsidR="00F50AF3">
        <w:rPr>
          <w:rFonts w:ascii="Times New Roman" w:hAnsi="Times New Roman" w:cs="Times New Roman"/>
          <w:sz w:val="28"/>
          <w:szCs w:val="28"/>
        </w:rPr>
        <w:t>La consideración nº 37 de la Directiva 2021/555 del Parlamento Europeo y del Consejo de 24 de marzo, expone lo siguiente:</w:t>
      </w:r>
    </w:p>
    <w:p w14:paraId="0992FC7A" w14:textId="3AED167E" w:rsidR="00F50AF3" w:rsidRDefault="00F50AF3" w:rsidP="005256B1">
      <w:pPr>
        <w:jc w:val="both"/>
        <w:rPr>
          <w:rFonts w:ascii="Times New Roman" w:hAnsi="Times New Roman" w:cs="Times New Roman"/>
          <w:i/>
          <w:iCs/>
          <w:sz w:val="28"/>
          <w:szCs w:val="28"/>
        </w:rPr>
      </w:pPr>
      <w:r w:rsidRPr="00F50AF3">
        <w:rPr>
          <w:rFonts w:ascii="Times New Roman" w:hAnsi="Times New Roman" w:cs="Times New Roman"/>
          <w:i/>
          <w:iCs/>
          <w:sz w:val="28"/>
          <w:szCs w:val="28"/>
        </w:rPr>
        <w:t xml:space="preserve">“Cuando el Derecho interno de los Estados miembros regule las armas antiguas, esas armas no deben estar sujetas a los requisitos de la presente Directiva. No obstante, las reproducciones de armas antiguas no tienen la </w:t>
      </w:r>
      <w:r w:rsidRPr="00F50AF3">
        <w:rPr>
          <w:rFonts w:ascii="Times New Roman" w:hAnsi="Times New Roman" w:cs="Times New Roman"/>
          <w:i/>
          <w:iCs/>
          <w:sz w:val="28"/>
          <w:szCs w:val="28"/>
        </w:rPr>
        <w:lastRenderedPageBreak/>
        <w:t>misma importancia o interés histórico y pueden fabricarse con técnicas modernas que pueden mejorar su durabilidad y precisión. Por consiguiente, tales reproducciones deben ser incluidas en el ámbito de aplicación de la presente Directiva”</w:t>
      </w:r>
    </w:p>
    <w:p w14:paraId="626CF23B" w14:textId="0145C972" w:rsidR="00F50AF3" w:rsidRDefault="00F50AF3" w:rsidP="005256B1">
      <w:pPr>
        <w:jc w:val="both"/>
        <w:rPr>
          <w:rFonts w:ascii="Times New Roman" w:hAnsi="Times New Roman" w:cs="Times New Roman"/>
          <w:sz w:val="28"/>
          <w:szCs w:val="28"/>
        </w:rPr>
      </w:pPr>
      <w:r>
        <w:rPr>
          <w:rFonts w:ascii="Times New Roman" w:hAnsi="Times New Roman" w:cs="Times New Roman"/>
          <w:sz w:val="28"/>
          <w:szCs w:val="28"/>
        </w:rPr>
        <w:t>No se trata de reproducciones, sino de piezas de historia que merecen un respeto, una consideración y un lugar conforme a lo que en su momento representaron, y que todavía tienen un lugar en estas calendas del Siglo XXI.</w:t>
      </w:r>
    </w:p>
    <w:p w14:paraId="5BE660C0" w14:textId="4FB9F831" w:rsidR="00F50AF3" w:rsidRDefault="00F50AF3" w:rsidP="005256B1">
      <w:pPr>
        <w:jc w:val="both"/>
        <w:rPr>
          <w:rFonts w:ascii="Times New Roman" w:hAnsi="Times New Roman" w:cs="Times New Roman"/>
          <w:sz w:val="28"/>
          <w:szCs w:val="28"/>
        </w:rPr>
      </w:pPr>
      <w:r>
        <w:rPr>
          <w:rFonts w:ascii="Times New Roman" w:hAnsi="Times New Roman" w:cs="Times New Roman"/>
          <w:sz w:val="28"/>
          <w:szCs w:val="28"/>
        </w:rPr>
        <w:t>El artículo 46 de la Constitución Española, promulga que “</w:t>
      </w:r>
      <w:r w:rsidRPr="00F50AF3">
        <w:rPr>
          <w:rFonts w:ascii="Times New Roman" w:hAnsi="Times New Roman" w:cs="Times New Roman"/>
          <w:i/>
          <w:iCs/>
          <w:sz w:val="28"/>
          <w:szCs w:val="28"/>
        </w:rPr>
        <w:t>Los poderes públicos garantizarán la conservación y promoverán el enriquecimiento del patrimonio histórico, cultural y artístico de los pueblos de España y de los bienes que lo integran, cualquiera que sea su régimen jurídico y su titularidad. La ley penal sancionará los atentados contra este patrimonio</w:t>
      </w:r>
      <w:r>
        <w:rPr>
          <w:rFonts w:ascii="Times New Roman" w:hAnsi="Times New Roman" w:cs="Times New Roman"/>
          <w:sz w:val="28"/>
          <w:szCs w:val="28"/>
        </w:rPr>
        <w:t>”</w:t>
      </w:r>
    </w:p>
    <w:p w14:paraId="2352110A" w14:textId="06938CE7" w:rsidR="00F50AF3" w:rsidRDefault="00F50AF3" w:rsidP="005256B1">
      <w:pPr>
        <w:jc w:val="both"/>
        <w:rPr>
          <w:rFonts w:ascii="Times New Roman" w:hAnsi="Times New Roman" w:cs="Times New Roman"/>
          <w:sz w:val="28"/>
          <w:szCs w:val="28"/>
        </w:rPr>
      </w:pPr>
      <w:r>
        <w:rPr>
          <w:rFonts w:ascii="Times New Roman" w:hAnsi="Times New Roman" w:cs="Times New Roman"/>
          <w:sz w:val="28"/>
          <w:szCs w:val="28"/>
        </w:rPr>
        <w:t xml:space="preserve">Desarrollo del Principio Rector de las Política Social y Económica, se promulgo la </w:t>
      </w:r>
      <w:r w:rsidRPr="00F50AF3">
        <w:rPr>
          <w:rFonts w:ascii="Times New Roman" w:hAnsi="Times New Roman" w:cs="Times New Roman"/>
          <w:sz w:val="28"/>
          <w:szCs w:val="28"/>
        </w:rPr>
        <w:t>Ley 16/1985, de 25 de junio, del Patrimonio Histórico Español</w:t>
      </w:r>
      <w:r>
        <w:rPr>
          <w:rFonts w:ascii="Times New Roman" w:hAnsi="Times New Roman" w:cs="Times New Roman"/>
          <w:sz w:val="28"/>
          <w:szCs w:val="28"/>
        </w:rPr>
        <w:t>, en cuyo artículo segundo se regula</w:t>
      </w:r>
    </w:p>
    <w:p w14:paraId="65948234" w14:textId="43D1F22D" w:rsidR="00F50AF3" w:rsidRPr="00F50AF3" w:rsidRDefault="00524433" w:rsidP="005256B1">
      <w:pPr>
        <w:jc w:val="both"/>
        <w:rPr>
          <w:rFonts w:ascii="Times New Roman" w:hAnsi="Times New Roman" w:cs="Times New Roman"/>
          <w:sz w:val="28"/>
          <w:szCs w:val="28"/>
        </w:rPr>
      </w:pPr>
      <w:r>
        <w:rPr>
          <w:rFonts w:ascii="Times New Roman" w:hAnsi="Times New Roman" w:cs="Times New Roman"/>
          <w:sz w:val="28"/>
          <w:szCs w:val="28"/>
        </w:rPr>
        <w:t>“</w:t>
      </w:r>
      <w:r w:rsidRPr="00F50AF3">
        <w:rPr>
          <w:rFonts w:ascii="Times New Roman" w:hAnsi="Times New Roman" w:cs="Times New Roman"/>
          <w:i/>
          <w:iCs/>
          <w:sz w:val="28"/>
          <w:szCs w:val="28"/>
        </w:rPr>
        <w:t>Sin</w:t>
      </w:r>
      <w:r w:rsidR="00F50AF3" w:rsidRPr="00F50AF3">
        <w:rPr>
          <w:rFonts w:ascii="Times New Roman" w:hAnsi="Times New Roman" w:cs="Times New Roman"/>
          <w:i/>
          <w:iCs/>
          <w:sz w:val="28"/>
          <w:szCs w:val="28"/>
        </w:rPr>
        <w:t xml:space="preserve"> perjuicio de las competencias que correspondan a los demás poderes públicos, son deberes y atribuciones esenciales de la Administración del Estado, de conformidad con lo establecido en los artículos 46 y 44, 149.1.1, y 149.2 de la Constitución, garantizar la conservación del Patrimonio Histórico Español, así como promover el enriquecimiento del mismo y fomentar y tutelar el acceso de todos los ciudadanos a los bienes comprendidos en él. Asimismo, de acuerdo con lo dispuesto en el artículo 149.1, 28, de la Constitución, la Administración del Estado protegerá dichos bienes frente a la exportación ilícita y la expoliación</w:t>
      </w:r>
      <w:r w:rsidR="00F50AF3" w:rsidRPr="00F50AF3">
        <w:rPr>
          <w:rFonts w:ascii="Times New Roman" w:hAnsi="Times New Roman" w:cs="Times New Roman"/>
          <w:sz w:val="28"/>
          <w:szCs w:val="28"/>
        </w:rPr>
        <w:t>.</w:t>
      </w:r>
      <w:r w:rsidR="00F50AF3">
        <w:rPr>
          <w:rFonts w:ascii="Times New Roman" w:hAnsi="Times New Roman" w:cs="Times New Roman"/>
          <w:sz w:val="28"/>
          <w:szCs w:val="28"/>
        </w:rPr>
        <w:t>”</w:t>
      </w:r>
    </w:p>
    <w:p w14:paraId="4AA12864" w14:textId="52A118F3" w:rsidR="005256B1" w:rsidRDefault="00830BC1" w:rsidP="005256B1">
      <w:pPr>
        <w:jc w:val="both"/>
        <w:rPr>
          <w:rFonts w:ascii="Times New Roman" w:hAnsi="Times New Roman" w:cs="Times New Roman"/>
          <w:sz w:val="28"/>
          <w:szCs w:val="28"/>
        </w:rPr>
      </w:pPr>
      <w:r>
        <w:rPr>
          <w:rFonts w:ascii="Times New Roman" w:hAnsi="Times New Roman" w:cs="Times New Roman"/>
          <w:sz w:val="28"/>
          <w:szCs w:val="28"/>
        </w:rPr>
        <w:t>Incólume ocasión de la que dispone la Autoridad Actuante para preservar, proteger y promocionar este patrimonio, en forma de armas antiguas, que ahora es parte de todos, y que en muchas ocasiones es un esfuerzo por parte de esos particulares el mantener dicho patrimonio que ha recaído en sus manos.</w:t>
      </w:r>
    </w:p>
    <w:p w14:paraId="0245E7F4" w14:textId="25336CB6" w:rsidR="00830BC1" w:rsidRDefault="00830BC1" w:rsidP="005256B1">
      <w:pPr>
        <w:jc w:val="both"/>
        <w:rPr>
          <w:rFonts w:ascii="Times New Roman" w:hAnsi="Times New Roman" w:cs="Times New Roman"/>
          <w:sz w:val="28"/>
          <w:szCs w:val="28"/>
        </w:rPr>
      </w:pPr>
      <w:r>
        <w:rPr>
          <w:rFonts w:ascii="Times New Roman" w:hAnsi="Times New Roman" w:cs="Times New Roman"/>
          <w:sz w:val="28"/>
          <w:szCs w:val="28"/>
        </w:rPr>
        <w:t>Esfuerzo que lejos de merecer un castigo, se merece un reconocimiento, y un apoyo de la administración para tal fin.</w:t>
      </w:r>
    </w:p>
    <w:p w14:paraId="2BFF28C0" w14:textId="04A92A8C" w:rsidR="00830BC1" w:rsidRDefault="00830BC1" w:rsidP="005256B1">
      <w:pPr>
        <w:jc w:val="both"/>
        <w:rPr>
          <w:rFonts w:ascii="Times New Roman" w:hAnsi="Times New Roman" w:cs="Times New Roman"/>
          <w:sz w:val="28"/>
          <w:szCs w:val="28"/>
        </w:rPr>
      </w:pPr>
      <w:r>
        <w:rPr>
          <w:rFonts w:ascii="Times New Roman" w:hAnsi="Times New Roman" w:cs="Times New Roman"/>
          <w:sz w:val="28"/>
          <w:szCs w:val="28"/>
        </w:rPr>
        <w:t xml:space="preserve">Es por ello </w:t>
      </w:r>
      <w:r w:rsidR="001C4D80">
        <w:rPr>
          <w:rFonts w:ascii="Times New Roman" w:hAnsi="Times New Roman" w:cs="Times New Roman"/>
          <w:sz w:val="28"/>
          <w:szCs w:val="28"/>
        </w:rPr>
        <w:t>por lo que</w:t>
      </w:r>
      <w:r>
        <w:rPr>
          <w:rFonts w:ascii="Times New Roman" w:hAnsi="Times New Roman" w:cs="Times New Roman"/>
          <w:sz w:val="28"/>
          <w:szCs w:val="28"/>
        </w:rPr>
        <w:t xml:space="preserve"> se debería de poder incluir Armas de Fuego Antiguas, esto es armamento que estuvo en los Grandes Conflictos, con más de 75 años de historia, en algún tipo de Libro de Coleccionista Especial, que aglutine este tipo de reliquias históricas sin alterar lo más mínimo su estatus originario.</w:t>
      </w:r>
    </w:p>
    <w:p w14:paraId="24774C13" w14:textId="3CE305BE" w:rsidR="00830BC1" w:rsidRDefault="00830BC1" w:rsidP="005256B1">
      <w:pPr>
        <w:jc w:val="both"/>
        <w:rPr>
          <w:rFonts w:ascii="Times New Roman" w:hAnsi="Times New Roman" w:cs="Times New Roman"/>
          <w:sz w:val="28"/>
          <w:szCs w:val="28"/>
        </w:rPr>
      </w:pPr>
      <w:r>
        <w:rPr>
          <w:rFonts w:ascii="Times New Roman" w:hAnsi="Times New Roman" w:cs="Times New Roman"/>
          <w:sz w:val="28"/>
          <w:szCs w:val="28"/>
        </w:rPr>
        <w:lastRenderedPageBreak/>
        <w:t xml:space="preserve">Y que no solo sean para colección, </w:t>
      </w:r>
      <w:r w:rsidR="001C4D80">
        <w:rPr>
          <w:rFonts w:ascii="Times New Roman" w:hAnsi="Times New Roman" w:cs="Times New Roman"/>
          <w:sz w:val="28"/>
          <w:szCs w:val="28"/>
        </w:rPr>
        <w:t>ya que,</w:t>
      </w:r>
      <w:r>
        <w:rPr>
          <w:rFonts w:ascii="Times New Roman" w:hAnsi="Times New Roman" w:cs="Times New Roman"/>
          <w:sz w:val="28"/>
          <w:szCs w:val="28"/>
        </w:rPr>
        <w:t xml:space="preserve"> en la actualidad, hay diversas modalidades de Tiro Deportivo, en las cuales únicamente pueden ser usados Rifles anteriores a 191</w:t>
      </w:r>
      <w:r w:rsidR="001C4D80">
        <w:rPr>
          <w:rFonts w:ascii="Times New Roman" w:hAnsi="Times New Roman" w:cs="Times New Roman"/>
          <w:sz w:val="28"/>
          <w:szCs w:val="28"/>
        </w:rPr>
        <w:t>9</w:t>
      </w:r>
      <w:r>
        <w:rPr>
          <w:rFonts w:ascii="Times New Roman" w:hAnsi="Times New Roman" w:cs="Times New Roman"/>
          <w:sz w:val="28"/>
          <w:szCs w:val="28"/>
        </w:rPr>
        <w:t>.</w:t>
      </w:r>
    </w:p>
    <w:p w14:paraId="274A7CD5" w14:textId="6C34EAFB" w:rsidR="00830BC1" w:rsidRDefault="00830BC1" w:rsidP="005256B1">
      <w:pPr>
        <w:jc w:val="both"/>
        <w:rPr>
          <w:rFonts w:ascii="Times New Roman" w:hAnsi="Times New Roman" w:cs="Times New Roman"/>
          <w:sz w:val="28"/>
          <w:szCs w:val="28"/>
        </w:rPr>
      </w:pPr>
      <w:r>
        <w:rPr>
          <w:rFonts w:ascii="Times New Roman" w:hAnsi="Times New Roman" w:cs="Times New Roman"/>
          <w:sz w:val="28"/>
          <w:szCs w:val="28"/>
        </w:rPr>
        <w:t xml:space="preserve">El </w:t>
      </w:r>
      <w:r w:rsidRPr="00830BC1">
        <w:rPr>
          <w:rFonts w:ascii="Times New Roman" w:hAnsi="Times New Roman" w:cs="Times New Roman"/>
          <w:sz w:val="28"/>
          <w:szCs w:val="28"/>
        </w:rPr>
        <w:t>REGLAMENTO TÉCNICO DE RETROCARGA V-2025</w:t>
      </w:r>
      <w:r w:rsidR="001C4D80">
        <w:rPr>
          <w:rStyle w:val="Refdenotaalpie"/>
          <w:rFonts w:ascii="Times New Roman" w:hAnsi="Times New Roman" w:cs="Times New Roman"/>
          <w:sz w:val="28"/>
          <w:szCs w:val="28"/>
        </w:rPr>
        <w:footnoteReference w:id="4"/>
      </w:r>
      <w:r>
        <w:rPr>
          <w:rFonts w:ascii="Times New Roman" w:hAnsi="Times New Roman" w:cs="Times New Roman"/>
          <w:sz w:val="28"/>
          <w:szCs w:val="28"/>
        </w:rPr>
        <w:t xml:space="preserve">, de la Real </w:t>
      </w:r>
      <w:r w:rsidR="00CF245D">
        <w:rPr>
          <w:rFonts w:ascii="Times New Roman" w:hAnsi="Times New Roman" w:cs="Times New Roman"/>
          <w:sz w:val="28"/>
          <w:szCs w:val="28"/>
        </w:rPr>
        <w:t>Federación</w:t>
      </w:r>
      <w:r>
        <w:rPr>
          <w:rFonts w:ascii="Times New Roman" w:hAnsi="Times New Roman" w:cs="Times New Roman"/>
          <w:sz w:val="28"/>
          <w:szCs w:val="28"/>
        </w:rPr>
        <w:t xml:space="preserve"> Española de Tiro Olímpico</w:t>
      </w:r>
      <w:r w:rsidR="001C4D80">
        <w:rPr>
          <w:rStyle w:val="Refdenotaalpie"/>
          <w:rFonts w:ascii="Times New Roman" w:hAnsi="Times New Roman" w:cs="Times New Roman"/>
          <w:sz w:val="28"/>
          <w:szCs w:val="28"/>
        </w:rPr>
        <w:footnoteReference w:id="5"/>
      </w:r>
      <w:r>
        <w:rPr>
          <w:rFonts w:ascii="Times New Roman" w:hAnsi="Times New Roman" w:cs="Times New Roman"/>
          <w:sz w:val="28"/>
          <w:szCs w:val="28"/>
        </w:rPr>
        <w:t>, Expone en su introducción:</w:t>
      </w:r>
    </w:p>
    <w:p w14:paraId="6F141D71" w14:textId="22958D6D" w:rsidR="00830BC1" w:rsidRPr="00830BC1" w:rsidRDefault="00830BC1" w:rsidP="005256B1">
      <w:pPr>
        <w:jc w:val="both"/>
        <w:rPr>
          <w:rFonts w:ascii="Times New Roman" w:hAnsi="Times New Roman" w:cs="Times New Roman"/>
          <w:i/>
          <w:iCs/>
          <w:sz w:val="28"/>
          <w:szCs w:val="28"/>
        </w:rPr>
      </w:pPr>
      <w:r w:rsidRPr="00830BC1">
        <w:rPr>
          <w:rFonts w:ascii="Times New Roman" w:hAnsi="Times New Roman" w:cs="Times New Roman"/>
          <w:i/>
          <w:iCs/>
          <w:sz w:val="28"/>
          <w:szCs w:val="28"/>
        </w:rPr>
        <w:t>El espíritu de este Reglamento es recuperar para el tiro deportivo y la sociedad en general, aquellas armas que ocuparon un lugar histórico entre las armas de avancarga y las armas modernas, abarcando un periodo de tiempo que incluye tanto las armas que utilizaron como propelente la pólvora negra como las pólvoras nitro ,con la limitación para estas últimas de que su patente fuera anterior al 31 de diciembre de 1919 y el cartucho que se utilice responda al diseño original del arma y que hayan sido fabricadas con anterioridad al año 1945</w:t>
      </w:r>
    </w:p>
    <w:p w14:paraId="3D024157" w14:textId="4C2685C5" w:rsidR="001C4D80" w:rsidRDefault="00830BC1" w:rsidP="005256B1">
      <w:pPr>
        <w:jc w:val="both"/>
        <w:rPr>
          <w:rFonts w:ascii="Times New Roman" w:hAnsi="Times New Roman" w:cs="Times New Roman"/>
          <w:i/>
          <w:iCs/>
          <w:sz w:val="28"/>
          <w:szCs w:val="28"/>
        </w:rPr>
      </w:pPr>
      <w:r w:rsidRPr="00830BC1">
        <w:rPr>
          <w:rFonts w:ascii="Times New Roman" w:hAnsi="Times New Roman" w:cs="Times New Roman"/>
          <w:i/>
          <w:iCs/>
          <w:sz w:val="28"/>
          <w:szCs w:val="28"/>
        </w:rPr>
        <w:t>Se establecen por tanto dos categorías, la de las armas que fueron diseñadas para utilizar cartuchos de papel, vaina semimetálica o vaina metálica y carga de proyección de pólvora negra, incluidas aquellas que habiéndolo sido para estas pólvoras, posteriormente fueron utilizadas con otras más modernas, y en categoría aparte, y la de las armas diseñadas para propelentes “nitro” cuya patente fuera anterior al 31 de diciembre de1919 o 1924 si es española y fabricación hasta el 1945 respetando diseño y calibre original</w:t>
      </w:r>
    </w:p>
    <w:p w14:paraId="0CC087AA" w14:textId="6651CE93" w:rsidR="001C4D80" w:rsidRDefault="001C4D80" w:rsidP="001C4D80">
      <w:pPr>
        <w:jc w:val="both"/>
        <w:rPr>
          <w:rFonts w:ascii="Times New Roman" w:hAnsi="Times New Roman" w:cs="Times New Roman"/>
          <w:sz w:val="28"/>
          <w:szCs w:val="28"/>
        </w:rPr>
      </w:pPr>
      <w:r>
        <w:rPr>
          <w:rFonts w:ascii="Times New Roman" w:hAnsi="Times New Roman" w:cs="Times New Roman"/>
          <w:sz w:val="28"/>
          <w:szCs w:val="28"/>
        </w:rPr>
        <w:t>Con esta Regulación, es bastante probable que una gran mayoría de “</w:t>
      </w:r>
      <w:proofErr w:type="spellStart"/>
      <w:r>
        <w:rPr>
          <w:rFonts w:ascii="Times New Roman" w:hAnsi="Times New Roman" w:cs="Times New Roman"/>
          <w:sz w:val="28"/>
          <w:szCs w:val="28"/>
        </w:rPr>
        <w:t>riflenientes</w:t>
      </w:r>
      <w:proofErr w:type="spellEnd"/>
      <w:r>
        <w:rPr>
          <w:rFonts w:ascii="Times New Roman" w:hAnsi="Times New Roman" w:cs="Times New Roman"/>
          <w:sz w:val="28"/>
          <w:szCs w:val="28"/>
        </w:rPr>
        <w:t>” que tanto preocupa a la autoridad que pretende imponer dicha medida arbitraria, quedara solucionada, además, siendo beneficiosa para ambas partes.</w:t>
      </w:r>
    </w:p>
    <w:p w14:paraId="7B574AC2" w14:textId="1550355A" w:rsidR="001E49DE" w:rsidRPr="001C4D80" w:rsidRDefault="00524433" w:rsidP="001C4D80">
      <w:pPr>
        <w:jc w:val="both"/>
        <w:rPr>
          <w:rFonts w:ascii="Times New Roman" w:hAnsi="Times New Roman" w:cs="Times New Roman"/>
          <w:sz w:val="28"/>
          <w:szCs w:val="28"/>
        </w:rPr>
      </w:pPr>
      <w:r>
        <w:rPr>
          <w:rFonts w:ascii="Times New Roman" w:hAnsi="Times New Roman" w:cs="Times New Roman"/>
          <w:sz w:val="28"/>
          <w:szCs w:val="28"/>
        </w:rPr>
        <w:t>SÉPTIMA. -</w:t>
      </w:r>
      <w:r w:rsidR="001E49DE">
        <w:rPr>
          <w:rFonts w:ascii="Times New Roman" w:hAnsi="Times New Roman" w:cs="Times New Roman"/>
          <w:sz w:val="28"/>
          <w:szCs w:val="28"/>
        </w:rPr>
        <w:t xml:space="preserve"> Uso indistinto Armas Largas rayadas para Caza Mayor y Tiro Deportivo</w:t>
      </w:r>
    </w:p>
    <w:p w14:paraId="5B566305" w14:textId="6359239C" w:rsidR="00461F59" w:rsidRDefault="00625947" w:rsidP="00625947">
      <w:pPr>
        <w:shd w:val="clear" w:color="auto" w:fill="A2A2A2"/>
        <w:jc w:val="both"/>
        <w:rPr>
          <w:rFonts w:ascii="Times New Roman" w:hAnsi="Times New Roman" w:cs="Times New Roman"/>
          <w:sz w:val="28"/>
          <w:szCs w:val="28"/>
        </w:rPr>
      </w:pPr>
      <w:r w:rsidRPr="00625947">
        <w:rPr>
          <w:rFonts w:ascii="Times New Roman" w:hAnsi="Times New Roman" w:cs="Times New Roman"/>
          <w:sz w:val="28"/>
          <w:szCs w:val="28"/>
        </w:rPr>
        <w:lastRenderedPageBreak/>
        <w:t>Por otra parte, se desvincula la actividad de las armas (caza y tiro deportivo) de las categorías 2ª.2 y 3ª.1, por lo que podrán ser utilizadas para ambas actividades. Las Comunidades Autónomas están demandando el uso del calibre .22 para cazar y el control poblacional de especies, lo que ahora no permite parcialmente el RA; por otra parte, el sector solicita que los rifles para caza mayor se puedan utilizar para prácticas deportivas sin tener que estar federados y tener la licencia F. La modificación que se proyecta cumple con estas expectativas.</w:t>
      </w:r>
    </w:p>
    <w:p w14:paraId="46C9F3EE" w14:textId="1A18EE23" w:rsidR="00625947" w:rsidRDefault="00CD106D" w:rsidP="00B176DC">
      <w:pPr>
        <w:jc w:val="both"/>
        <w:rPr>
          <w:rFonts w:ascii="Times New Roman" w:hAnsi="Times New Roman" w:cs="Times New Roman"/>
          <w:sz w:val="28"/>
          <w:szCs w:val="28"/>
        </w:rPr>
      </w:pPr>
      <w:r>
        <w:rPr>
          <w:rFonts w:ascii="Times New Roman" w:hAnsi="Times New Roman" w:cs="Times New Roman"/>
          <w:sz w:val="28"/>
          <w:szCs w:val="28"/>
        </w:rPr>
        <w:t>Irónicamente</w:t>
      </w:r>
      <w:r w:rsidR="00625947">
        <w:rPr>
          <w:rFonts w:ascii="Times New Roman" w:hAnsi="Times New Roman" w:cs="Times New Roman"/>
          <w:sz w:val="28"/>
          <w:szCs w:val="28"/>
        </w:rPr>
        <w:t>, es la supuesta solución a un problema que nunca debió de haber existido.</w:t>
      </w:r>
    </w:p>
    <w:p w14:paraId="469EF8C9" w14:textId="4E14BF41" w:rsidR="00625947" w:rsidRDefault="00625947" w:rsidP="00B176DC">
      <w:pPr>
        <w:jc w:val="both"/>
        <w:rPr>
          <w:rFonts w:ascii="Times New Roman" w:hAnsi="Times New Roman" w:cs="Times New Roman"/>
          <w:sz w:val="28"/>
          <w:szCs w:val="28"/>
        </w:rPr>
      </w:pPr>
      <w:r>
        <w:rPr>
          <w:rFonts w:ascii="Times New Roman" w:hAnsi="Times New Roman" w:cs="Times New Roman"/>
          <w:sz w:val="28"/>
          <w:szCs w:val="28"/>
        </w:rPr>
        <w:t xml:space="preserve">La Directiva Europea 2021/555 del Parlamento Europeo y del Consejo, de 24 de Marzo que se debe de transponer al derecho interno, en su Anexo II, no tipifica ni clasifica el uso de las armas de fuego, sino su característica, no se habla ni de caza ni de tiro deportivo, es por ello </w:t>
      </w:r>
      <w:r w:rsidR="001201C4">
        <w:rPr>
          <w:rFonts w:ascii="Times New Roman" w:hAnsi="Times New Roman" w:cs="Times New Roman"/>
          <w:sz w:val="28"/>
          <w:szCs w:val="28"/>
        </w:rPr>
        <w:t>por lo que</w:t>
      </w:r>
      <w:r>
        <w:rPr>
          <w:rFonts w:ascii="Times New Roman" w:hAnsi="Times New Roman" w:cs="Times New Roman"/>
          <w:sz w:val="28"/>
          <w:szCs w:val="28"/>
        </w:rPr>
        <w:t xml:space="preserve"> tampoco se debería hablar ni haber hablado de una circunstancia ya solucionada por la Directiva </w:t>
      </w:r>
      <w:r w:rsidR="001201C4">
        <w:rPr>
          <w:rFonts w:ascii="Times New Roman" w:hAnsi="Times New Roman" w:cs="Times New Roman"/>
          <w:sz w:val="28"/>
          <w:szCs w:val="28"/>
        </w:rPr>
        <w:t xml:space="preserve">Europea </w:t>
      </w:r>
      <w:r>
        <w:rPr>
          <w:rFonts w:ascii="Times New Roman" w:hAnsi="Times New Roman" w:cs="Times New Roman"/>
          <w:sz w:val="28"/>
          <w:szCs w:val="28"/>
        </w:rPr>
        <w:t>de 1991</w:t>
      </w:r>
      <w:r w:rsidR="001201C4">
        <w:rPr>
          <w:rFonts w:ascii="Times New Roman" w:hAnsi="Times New Roman" w:cs="Times New Roman"/>
          <w:sz w:val="28"/>
          <w:szCs w:val="28"/>
        </w:rPr>
        <w:t xml:space="preserve"> y su categorización de las armas independientemente de su uso</w:t>
      </w:r>
      <w:r>
        <w:rPr>
          <w:rFonts w:ascii="Times New Roman" w:hAnsi="Times New Roman" w:cs="Times New Roman"/>
          <w:sz w:val="28"/>
          <w:szCs w:val="28"/>
        </w:rPr>
        <w:t>, y que por motivos que se desconocen, no se transpuso al Derecho Nacional Español.</w:t>
      </w:r>
    </w:p>
    <w:p w14:paraId="65BA6F4B" w14:textId="1C170ACA" w:rsidR="001E49DE" w:rsidRDefault="00524433" w:rsidP="00B176DC">
      <w:pPr>
        <w:jc w:val="both"/>
        <w:rPr>
          <w:rFonts w:ascii="Times New Roman" w:hAnsi="Times New Roman" w:cs="Times New Roman"/>
          <w:sz w:val="28"/>
          <w:szCs w:val="28"/>
        </w:rPr>
      </w:pPr>
      <w:r>
        <w:rPr>
          <w:rFonts w:ascii="Times New Roman" w:hAnsi="Times New Roman" w:cs="Times New Roman"/>
          <w:sz w:val="28"/>
          <w:szCs w:val="28"/>
        </w:rPr>
        <w:t>OCTAVA. -</w:t>
      </w:r>
      <w:r w:rsidR="001E49DE">
        <w:rPr>
          <w:rFonts w:ascii="Times New Roman" w:hAnsi="Times New Roman" w:cs="Times New Roman"/>
          <w:sz w:val="28"/>
          <w:szCs w:val="28"/>
        </w:rPr>
        <w:t xml:space="preserve"> Aumento de Número Armas 1ª Categoría. Limitación 3ª a Calibre .22 LR.</w:t>
      </w:r>
    </w:p>
    <w:p w14:paraId="1745AC6D" w14:textId="292EC562" w:rsidR="00625947" w:rsidRDefault="00EB051C" w:rsidP="00EB051C">
      <w:pPr>
        <w:shd w:val="clear" w:color="auto" w:fill="A2A2A2"/>
        <w:jc w:val="both"/>
        <w:rPr>
          <w:rFonts w:ascii="Times New Roman" w:hAnsi="Times New Roman" w:cs="Times New Roman"/>
          <w:sz w:val="28"/>
          <w:szCs w:val="28"/>
        </w:rPr>
      </w:pPr>
      <w:r w:rsidRPr="00EB051C">
        <w:rPr>
          <w:rFonts w:ascii="Times New Roman" w:hAnsi="Times New Roman" w:cs="Times New Roman"/>
          <w:sz w:val="28"/>
          <w:szCs w:val="28"/>
        </w:rPr>
        <w:t>Atendiendo a otra demanda del sector deportivo, se incrementa el número de armas que hasta ahora podían tener los tiradores deportivos federados y categorizados de 1ª clase, porque el aumento de modalidades deportivas y consecuentemente de armas consideradas de concurso, según la Orden INT/96/2022, hace necesario revisar el número de armas de que pueden disponer estos deportistas de alto nivel. Por el contrario, en el ámbito del tiro deportivo, las armas que podrán autorizarse a los titulares de licencias F de 3ª clase serán exclusivamente de calibre .22.</w:t>
      </w:r>
    </w:p>
    <w:p w14:paraId="026194C6" w14:textId="619CB562" w:rsidR="00625947" w:rsidRDefault="00EB051C" w:rsidP="00B176DC">
      <w:pPr>
        <w:jc w:val="both"/>
        <w:rPr>
          <w:rFonts w:ascii="Times New Roman" w:hAnsi="Times New Roman" w:cs="Times New Roman"/>
          <w:sz w:val="28"/>
          <w:szCs w:val="28"/>
        </w:rPr>
      </w:pPr>
      <w:r>
        <w:rPr>
          <w:rFonts w:ascii="Times New Roman" w:hAnsi="Times New Roman" w:cs="Times New Roman"/>
          <w:sz w:val="28"/>
          <w:szCs w:val="28"/>
        </w:rPr>
        <w:t xml:space="preserve">La ampliación de armas de fuego de 1ª </w:t>
      </w:r>
      <w:r w:rsidR="00524433">
        <w:rPr>
          <w:rFonts w:ascii="Times New Roman" w:hAnsi="Times New Roman" w:cs="Times New Roman"/>
          <w:sz w:val="28"/>
          <w:szCs w:val="28"/>
        </w:rPr>
        <w:t>Categoría</w:t>
      </w:r>
      <w:r>
        <w:rPr>
          <w:rFonts w:ascii="Times New Roman" w:hAnsi="Times New Roman" w:cs="Times New Roman"/>
          <w:sz w:val="28"/>
          <w:szCs w:val="28"/>
        </w:rPr>
        <w:t xml:space="preserve"> es una gran medida, que se comparte y es más que oportuna, dado el gran abanico, y afortunadamente que se va ampliando dada la buena acogida del Tiro Deportivo en la Sociedad como actividad deportiva.</w:t>
      </w:r>
    </w:p>
    <w:p w14:paraId="7412BC6E" w14:textId="0D26D836" w:rsidR="00EB051C" w:rsidRDefault="00EB051C" w:rsidP="00B176DC">
      <w:pPr>
        <w:jc w:val="both"/>
        <w:rPr>
          <w:rFonts w:ascii="Times New Roman" w:hAnsi="Times New Roman" w:cs="Times New Roman"/>
          <w:sz w:val="28"/>
          <w:szCs w:val="28"/>
        </w:rPr>
      </w:pPr>
      <w:r>
        <w:rPr>
          <w:rFonts w:ascii="Times New Roman" w:hAnsi="Times New Roman" w:cs="Times New Roman"/>
          <w:sz w:val="28"/>
          <w:szCs w:val="28"/>
        </w:rPr>
        <w:t xml:space="preserve">No obstante, dicha ampliación, por una cuestión de proporcionalidad e igualdad de las normas, debería de ser extensiva a las categorías 2ª y 3ª, de lo contrario, la medida sería discriminatoria para los nuevos participantes que desean de ascender de </w:t>
      </w:r>
      <w:r w:rsidR="00387709">
        <w:rPr>
          <w:rFonts w:ascii="Times New Roman" w:hAnsi="Times New Roman" w:cs="Times New Roman"/>
          <w:sz w:val="28"/>
          <w:szCs w:val="28"/>
        </w:rPr>
        <w:t>categoría, versus</w:t>
      </w:r>
      <w:r>
        <w:rPr>
          <w:rFonts w:ascii="Times New Roman" w:hAnsi="Times New Roman" w:cs="Times New Roman"/>
          <w:sz w:val="28"/>
          <w:szCs w:val="28"/>
        </w:rPr>
        <w:t xml:space="preserve"> los que ya están.</w:t>
      </w:r>
    </w:p>
    <w:p w14:paraId="1E60A082" w14:textId="694909A4" w:rsidR="004518A8" w:rsidRDefault="00FD0E75" w:rsidP="00B176DC">
      <w:pPr>
        <w:jc w:val="both"/>
        <w:rPr>
          <w:rFonts w:ascii="Times New Roman" w:hAnsi="Times New Roman" w:cs="Times New Roman"/>
          <w:sz w:val="28"/>
          <w:szCs w:val="28"/>
        </w:rPr>
      </w:pPr>
      <w:r>
        <w:rPr>
          <w:rFonts w:ascii="Times New Roman" w:hAnsi="Times New Roman" w:cs="Times New Roman"/>
          <w:sz w:val="28"/>
          <w:szCs w:val="28"/>
        </w:rPr>
        <w:lastRenderedPageBreak/>
        <w:t>Criterio</w:t>
      </w:r>
      <w:r w:rsidR="004518A8">
        <w:rPr>
          <w:rFonts w:ascii="Times New Roman" w:hAnsi="Times New Roman" w:cs="Times New Roman"/>
          <w:sz w:val="28"/>
          <w:szCs w:val="28"/>
        </w:rPr>
        <w:t xml:space="preserve"> que para nada puede compartirse</w:t>
      </w:r>
      <w:r>
        <w:rPr>
          <w:rFonts w:ascii="Times New Roman" w:hAnsi="Times New Roman" w:cs="Times New Roman"/>
          <w:sz w:val="28"/>
          <w:szCs w:val="28"/>
        </w:rPr>
        <w:t>, ni recibirse como prudente,</w:t>
      </w:r>
      <w:r w:rsidR="004518A8">
        <w:rPr>
          <w:rFonts w:ascii="Times New Roman" w:hAnsi="Times New Roman" w:cs="Times New Roman"/>
          <w:sz w:val="28"/>
          <w:szCs w:val="28"/>
        </w:rPr>
        <w:t xml:space="preserve"> con la pretensión de limitar las armas de fuego a los titulares de Licencia F de 3ª Categoría</w:t>
      </w:r>
      <w:r>
        <w:rPr>
          <w:rFonts w:ascii="Times New Roman" w:hAnsi="Times New Roman" w:cs="Times New Roman"/>
          <w:sz w:val="28"/>
          <w:szCs w:val="28"/>
        </w:rPr>
        <w:t xml:space="preserve"> al calibre .22 LR.</w:t>
      </w:r>
    </w:p>
    <w:p w14:paraId="570814B1" w14:textId="3B70C566" w:rsidR="00FD0E75" w:rsidRDefault="00FD0E75" w:rsidP="00B176DC">
      <w:pPr>
        <w:jc w:val="both"/>
        <w:rPr>
          <w:rFonts w:ascii="Times New Roman" w:hAnsi="Times New Roman" w:cs="Times New Roman"/>
          <w:sz w:val="28"/>
          <w:szCs w:val="28"/>
        </w:rPr>
      </w:pPr>
      <w:r>
        <w:rPr>
          <w:rFonts w:ascii="Times New Roman" w:hAnsi="Times New Roman" w:cs="Times New Roman"/>
          <w:sz w:val="28"/>
          <w:szCs w:val="28"/>
        </w:rPr>
        <w:t xml:space="preserve">Medida injusta, no proporcional, y por encima de todo Discriminatoria, ya que se </w:t>
      </w:r>
      <w:r w:rsidR="002F4F37">
        <w:rPr>
          <w:rFonts w:ascii="Times New Roman" w:hAnsi="Times New Roman" w:cs="Times New Roman"/>
          <w:sz w:val="28"/>
          <w:szCs w:val="28"/>
        </w:rPr>
        <w:t>está</w:t>
      </w:r>
      <w:r>
        <w:rPr>
          <w:rFonts w:ascii="Times New Roman" w:hAnsi="Times New Roman" w:cs="Times New Roman"/>
          <w:sz w:val="28"/>
          <w:szCs w:val="28"/>
        </w:rPr>
        <w:t xml:space="preserve"> impidiendo a los principiantes del Tiro Deportivo, de las 31 Modalidades Existentes que permiten armas de fuego, a únicamente 9.</w:t>
      </w:r>
    </w:p>
    <w:p w14:paraId="6A043354" w14:textId="33A474D9" w:rsidR="00FD0E75" w:rsidRDefault="00FD0E75" w:rsidP="00B176DC">
      <w:pPr>
        <w:jc w:val="both"/>
        <w:rPr>
          <w:rFonts w:ascii="Times New Roman" w:hAnsi="Times New Roman" w:cs="Times New Roman"/>
          <w:sz w:val="28"/>
          <w:szCs w:val="28"/>
        </w:rPr>
      </w:pPr>
      <w:r>
        <w:rPr>
          <w:rFonts w:ascii="Times New Roman" w:hAnsi="Times New Roman" w:cs="Times New Roman"/>
          <w:sz w:val="28"/>
          <w:szCs w:val="28"/>
        </w:rPr>
        <w:t>Es absolutamente una discriminación sin motivo, que atenta directamente contra el artículo 14 de la Constitución Española, cada deportista es libre de elegir, dentro de las modalidades que ofrecen las Federaciones de Tiro Olímpico, a que tipo de competiciones acudir.</w:t>
      </w:r>
    </w:p>
    <w:p w14:paraId="378CBB57" w14:textId="5585101B" w:rsidR="00FD0E75" w:rsidRDefault="00FD0E75" w:rsidP="00B176DC">
      <w:pPr>
        <w:jc w:val="both"/>
        <w:rPr>
          <w:rFonts w:ascii="Times New Roman" w:hAnsi="Times New Roman" w:cs="Times New Roman"/>
          <w:sz w:val="28"/>
          <w:szCs w:val="28"/>
        </w:rPr>
      </w:pPr>
      <w:r>
        <w:rPr>
          <w:rFonts w:ascii="Times New Roman" w:hAnsi="Times New Roman" w:cs="Times New Roman"/>
          <w:sz w:val="28"/>
          <w:szCs w:val="28"/>
        </w:rPr>
        <w:t>No se le puede decir a un Federado en Atletismo, que hasta que ascienda de categoría no puede utilizar la pista de 400 metros, sino solo la de 50.</w:t>
      </w:r>
    </w:p>
    <w:p w14:paraId="630C650F" w14:textId="38DEA205" w:rsidR="001E49DE" w:rsidRDefault="00524433" w:rsidP="00B176DC">
      <w:pPr>
        <w:jc w:val="both"/>
        <w:rPr>
          <w:rFonts w:ascii="Times New Roman" w:hAnsi="Times New Roman" w:cs="Times New Roman"/>
          <w:sz w:val="28"/>
          <w:szCs w:val="28"/>
        </w:rPr>
      </w:pPr>
      <w:r>
        <w:rPr>
          <w:rFonts w:ascii="Times New Roman" w:hAnsi="Times New Roman" w:cs="Times New Roman"/>
          <w:sz w:val="28"/>
          <w:szCs w:val="28"/>
        </w:rPr>
        <w:t>NOVENA. -</w:t>
      </w:r>
      <w:r w:rsidR="001E49DE">
        <w:rPr>
          <w:rFonts w:ascii="Times New Roman" w:hAnsi="Times New Roman" w:cs="Times New Roman"/>
          <w:sz w:val="28"/>
          <w:szCs w:val="28"/>
        </w:rPr>
        <w:t xml:space="preserve"> Bloque Batiburrillo II. </w:t>
      </w:r>
    </w:p>
    <w:p w14:paraId="3AF27CF6" w14:textId="64E2921E" w:rsidR="00EB051C" w:rsidRDefault="001E49DE" w:rsidP="00B176DC">
      <w:pPr>
        <w:jc w:val="both"/>
        <w:rPr>
          <w:rFonts w:ascii="Times New Roman" w:hAnsi="Times New Roman" w:cs="Times New Roman"/>
          <w:sz w:val="28"/>
          <w:szCs w:val="28"/>
        </w:rPr>
      </w:pPr>
      <w:r w:rsidRPr="001E49DE">
        <w:rPr>
          <w:rFonts w:ascii="Times New Roman" w:hAnsi="Times New Roman" w:cs="Times New Roman"/>
          <w:sz w:val="28"/>
          <w:szCs w:val="28"/>
        </w:rPr>
        <w:t>El cuarto bloque está referido a un conjunto heterogéneo de asuntos</w:t>
      </w:r>
    </w:p>
    <w:p w14:paraId="078DA616" w14:textId="0BA4E578" w:rsidR="001E49DE" w:rsidRDefault="001E49DE" w:rsidP="001E49DE">
      <w:pPr>
        <w:shd w:val="clear" w:color="auto" w:fill="A2A2A2"/>
        <w:jc w:val="both"/>
        <w:rPr>
          <w:rFonts w:ascii="Times New Roman" w:hAnsi="Times New Roman" w:cs="Times New Roman"/>
          <w:sz w:val="28"/>
          <w:szCs w:val="28"/>
        </w:rPr>
      </w:pPr>
      <w:r w:rsidRPr="001E49DE">
        <w:rPr>
          <w:rFonts w:ascii="Times New Roman" w:hAnsi="Times New Roman" w:cs="Times New Roman"/>
          <w:sz w:val="28"/>
          <w:szCs w:val="28"/>
        </w:rPr>
        <w:t>Se establece para las personas titulares de las licencias F para armas de concurso reguladas en los artículos 129 y siguientes la obligación exigida para los titulares del resto de licencias en el artículo 104: la presentación de un informe de aptitudes psicofísicas cada tres años a partir de los 67 años. La reciente modificación del Reglamento de Armas de 2020 había alargado el plazo de vigencia de las licencias F desde los 3 a los 5 años, pero había obviado</w:t>
      </w:r>
      <w:r>
        <w:rPr>
          <w:rFonts w:ascii="Times New Roman" w:hAnsi="Times New Roman" w:cs="Times New Roman"/>
          <w:sz w:val="28"/>
          <w:szCs w:val="28"/>
        </w:rPr>
        <w:t xml:space="preserve"> </w:t>
      </w:r>
      <w:r w:rsidRPr="001E49DE">
        <w:rPr>
          <w:rFonts w:ascii="Times New Roman" w:hAnsi="Times New Roman" w:cs="Times New Roman"/>
          <w:sz w:val="28"/>
          <w:szCs w:val="28"/>
        </w:rPr>
        <w:t xml:space="preserve">que el resto de </w:t>
      </w:r>
      <w:r w:rsidR="001D5E6D" w:rsidRPr="001E49DE">
        <w:rPr>
          <w:rFonts w:ascii="Times New Roman" w:hAnsi="Times New Roman" w:cs="Times New Roman"/>
          <w:sz w:val="28"/>
          <w:szCs w:val="28"/>
        </w:rPr>
        <w:t>las licencias</w:t>
      </w:r>
      <w:r w:rsidRPr="001E49DE">
        <w:rPr>
          <w:rFonts w:ascii="Times New Roman" w:hAnsi="Times New Roman" w:cs="Times New Roman"/>
          <w:sz w:val="28"/>
          <w:szCs w:val="28"/>
        </w:rPr>
        <w:t>, que siempre han tenido 5 años de vigencia, han exigido siempre que a partir de determinada edad periódicamente se sometan a nuevas pruebas psicofísicas sin tener en cuenta el plazo de vigencia de las licencias. A este respecto, cabe señalar que la Comisión Interministerial Permanente de Armas y Explosivos, en su reunión de fecha 12 de noviembre de 2024 concluyó que es conveniente llevar a cabo esta modificación por cuanto existe una situación discriminatoria con respecto a los titulares de otras licencias de armas</w:t>
      </w:r>
      <w:r>
        <w:rPr>
          <w:rFonts w:ascii="Times New Roman" w:hAnsi="Times New Roman" w:cs="Times New Roman"/>
          <w:sz w:val="28"/>
          <w:szCs w:val="28"/>
        </w:rPr>
        <w:t>.</w:t>
      </w:r>
    </w:p>
    <w:p w14:paraId="3E34A613" w14:textId="77777777" w:rsidR="008F6612" w:rsidRDefault="008F6612" w:rsidP="00B176DC">
      <w:pPr>
        <w:jc w:val="both"/>
        <w:rPr>
          <w:rFonts w:ascii="Times New Roman" w:hAnsi="Times New Roman" w:cs="Times New Roman"/>
          <w:sz w:val="28"/>
          <w:szCs w:val="28"/>
        </w:rPr>
      </w:pPr>
    </w:p>
    <w:p w14:paraId="0FDDD39B" w14:textId="4C0BAB43" w:rsidR="008F6612" w:rsidRDefault="008F6612" w:rsidP="00B176DC">
      <w:pPr>
        <w:jc w:val="both"/>
        <w:rPr>
          <w:rFonts w:ascii="Times New Roman" w:hAnsi="Times New Roman" w:cs="Times New Roman"/>
          <w:sz w:val="28"/>
          <w:szCs w:val="28"/>
        </w:rPr>
      </w:pPr>
      <w:r>
        <w:rPr>
          <w:rFonts w:ascii="Times New Roman" w:hAnsi="Times New Roman" w:cs="Times New Roman"/>
          <w:sz w:val="28"/>
          <w:szCs w:val="28"/>
        </w:rPr>
        <w:t>Otro punto que tampoco forma parte de la carta Europea para exigir la transposición, y que por lo tanto no debería ser objeto de transposición ni de aprovechamiento para realizar reformas de interés propio.</w:t>
      </w:r>
    </w:p>
    <w:p w14:paraId="000BE9E5" w14:textId="4D72661A" w:rsidR="00EB051C" w:rsidRDefault="00E939E4" w:rsidP="00B176DC">
      <w:pPr>
        <w:jc w:val="both"/>
        <w:rPr>
          <w:rFonts w:ascii="Times New Roman" w:hAnsi="Times New Roman" w:cs="Times New Roman"/>
          <w:sz w:val="28"/>
          <w:szCs w:val="28"/>
        </w:rPr>
      </w:pPr>
      <w:r>
        <w:rPr>
          <w:rFonts w:ascii="Times New Roman" w:hAnsi="Times New Roman" w:cs="Times New Roman"/>
          <w:sz w:val="28"/>
          <w:szCs w:val="28"/>
        </w:rPr>
        <w:t xml:space="preserve">En cuanto al suculento y próspero negocio de los Centros de Aptitudes Psicotécnicas, que se nutren de la obligación, en muchos casos en contra de la propia voluntad de los usuarios, de pasar por un aro de condiciones estipuladas por la administración y exigidas por la misma, a coste del </w:t>
      </w:r>
      <w:r>
        <w:rPr>
          <w:rFonts w:ascii="Times New Roman" w:hAnsi="Times New Roman" w:cs="Times New Roman"/>
          <w:sz w:val="28"/>
          <w:szCs w:val="28"/>
        </w:rPr>
        <w:lastRenderedPageBreak/>
        <w:t>usuario. Y esto no es más que una vuelta de tuerca más, a incrementar la facturación anual de los mismos, al albur y bajo el falso amparo de “la vigilancia de las aptitudes psicofísicas” cuestión que se limita a cargar patrimonialmente al usuario una probatoria exigida por la administración actuante.</w:t>
      </w:r>
    </w:p>
    <w:p w14:paraId="13B9C517" w14:textId="32ABF9A8" w:rsidR="00E939E4" w:rsidRDefault="00E939E4" w:rsidP="00B176DC">
      <w:pPr>
        <w:jc w:val="both"/>
        <w:rPr>
          <w:rFonts w:ascii="Times New Roman" w:hAnsi="Times New Roman" w:cs="Times New Roman"/>
          <w:sz w:val="28"/>
          <w:szCs w:val="28"/>
        </w:rPr>
      </w:pPr>
      <w:r>
        <w:rPr>
          <w:rFonts w:ascii="Times New Roman" w:hAnsi="Times New Roman" w:cs="Times New Roman"/>
          <w:sz w:val="28"/>
          <w:szCs w:val="28"/>
        </w:rPr>
        <w:t xml:space="preserve">Hay </w:t>
      </w:r>
      <w:r w:rsidR="008F6612">
        <w:rPr>
          <w:rFonts w:ascii="Times New Roman" w:hAnsi="Times New Roman" w:cs="Times New Roman"/>
          <w:sz w:val="28"/>
          <w:szCs w:val="28"/>
        </w:rPr>
        <w:t>recursos suficientes</w:t>
      </w:r>
      <w:r>
        <w:rPr>
          <w:rFonts w:ascii="Times New Roman" w:hAnsi="Times New Roman" w:cs="Times New Roman"/>
          <w:sz w:val="28"/>
          <w:szCs w:val="28"/>
        </w:rPr>
        <w:t xml:space="preserve">, y mucho menos invasivos en la intimidad de los súbditos españoles, recordando que la intimidad es un derecho fundamental (art. 18 de la Carta Magna), y se ve transgredida, menoscabada, y vulnerada por tener que acudir a un obligatorio y preceptivo examen, realizado por mercantiles cuyo objeto social no es otro que la facturación sin límites, por no mencionar </w:t>
      </w:r>
      <w:r w:rsidR="008F6612">
        <w:rPr>
          <w:rFonts w:ascii="Times New Roman" w:hAnsi="Times New Roman" w:cs="Times New Roman"/>
          <w:sz w:val="28"/>
          <w:szCs w:val="28"/>
        </w:rPr>
        <w:t>la multitud de personas, que por sus creencias personales están en contra de este tipo de negocios, y que pese a ello, deben de obrar en contra de las mismas, cuando están salvaguardadas por el art. 16 de la Constitución Española.</w:t>
      </w:r>
    </w:p>
    <w:p w14:paraId="2B253A26" w14:textId="5564CF03" w:rsidR="00E939E4" w:rsidRDefault="008F6612" w:rsidP="00B176DC">
      <w:pPr>
        <w:jc w:val="both"/>
        <w:rPr>
          <w:rFonts w:ascii="Times New Roman" w:hAnsi="Times New Roman" w:cs="Times New Roman"/>
          <w:sz w:val="28"/>
          <w:szCs w:val="28"/>
        </w:rPr>
      </w:pPr>
      <w:r>
        <w:rPr>
          <w:rFonts w:ascii="Times New Roman" w:hAnsi="Times New Roman" w:cs="Times New Roman"/>
          <w:sz w:val="28"/>
          <w:szCs w:val="28"/>
        </w:rPr>
        <w:t xml:space="preserve">Se propone, “aprovechando” el anteproyecto., que se suprima la Obligación de aportar certificado de Aptitudes Psicotécnicas, por una Declaración Responsable, al amparo del </w:t>
      </w:r>
      <w:r w:rsidR="00524433">
        <w:rPr>
          <w:rFonts w:ascii="Times New Roman" w:hAnsi="Times New Roman" w:cs="Times New Roman"/>
          <w:sz w:val="28"/>
          <w:szCs w:val="28"/>
        </w:rPr>
        <w:t>art.</w:t>
      </w:r>
      <w:r>
        <w:rPr>
          <w:rFonts w:ascii="Times New Roman" w:hAnsi="Times New Roman" w:cs="Times New Roman"/>
          <w:sz w:val="28"/>
          <w:szCs w:val="28"/>
        </w:rPr>
        <w:t xml:space="preserve"> 69 de la Ley 39/2019, de 1 de Octubre, en la que el usuario declare bajo su responsabilidad, que es apto para el uso de armas de fuego.</w:t>
      </w:r>
    </w:p>
    <w:p w14:paraId="276EE1EF" w14:textId="5E11235C" w:rsidR="008F6612" w:rsidRDefault="008F6612" w:rsidP="008F6612">
      <w:pPr>
        <w:shd w:val="clear" w:color="auto" w:fill="D4D4D4"/>
        <w:jc w:val="both"/>
        <w:rPr>
          <w:rFonts w:ascii="Times New Roman" w:hAnsi="Times New Roman" w:cs="Times New Roman"/>
          <w:sz w:val="28"/>
          <w:szCs w:val="28"/>
        </w:rPr>
      </w:pPr>
      <w:r w:rsidRPr="008F6612">
        <w:rPr>
          <w:rFonts w:ascii="Times New Roman" w:hAnsi="Times New Roman" w:cs="Times New Roman"/>
          <w:sz w:val="28"/>
          <w:szCs w:val="28"/>
        </w:rPr>
        <w:t>Se considera que los establecimientos y las instalaciones de las Escuelas de Formación de Mandos y de Formación Básica que, con cualquier denominación, se creen por las Comunidades Autónomas en virtud de lo dispuesto en el artículo 39 de la Ley Orgánica 2/1986, de Fuerzas y Cuerpos de Seguridad, deben también quedar fuera del Reglamento de Armas para el desarrollo de sus funciones. En estas Escuelas tiene que formarse el personal de policía de los Entes Locales que debe efectuar los ejercicios de tiro que presumiblemente serán los mismos que lleven a cabo, una vez alcanzada la condición de policía local, para el mantenimiento de la destreza en tiro y que efectuarán en los establecimientos e instalaciones de sus respectivos Cuerpos de Policía Local que, estos sí, están fuera del Reglamento de Armas.</w:t>
      </w:r>
    </w:p>
    <w:p w14:paraId="71498D29" w14:textId="2D0AF34B" w:rsidR="008F6612" w:rsidRDefault="008F6612" w:rsidP="008F6612">
      <w:pPr>
        <w:jc w:val="both"/>
        <w:rPr>
          <w:rFonts w:ascii="Times New Roman" w:hAnsi="Times New Roman" w:cs="Times New Roman"/>
          <w:sz w:val="28"/>
          <w:szCs w:val="28"/>
        </w:rPr>
      </w:pPr>
      <w:r>
        <w:rPr>
          <w:rFonts w:ascii="Times New Roman" w:hAnsi="Times New Roman" w:cs="Times New Roman"/>
          <w:sz w:val="28"/>
          <w:szCs w:val="28"/>
        </w:rPr>
        <w:t xml:space="preserve">Nada dice la </w:t>
      </w:r>
      <w:r w:rsidRPr="008F6612">
        <w:rPr>
          <w:rFonts w:ascii="Times New Roman" w:hAnsi="Times New Roman" w:cs="Times New Roman"/>
          <w:sz w:val="28"/>
          <w:szCs w:val="28"/>
        </w:rPr>
        <w:t>Directiva (UE) 2021/555 del Parlamento Europeo y del Consejo de 24 de marzo de 2021 sobre el control de la adquisición y tenencia de armas</w:t>
      </w:r>
      <w:r>
        <w:rPr>
          <w:rFonts w:ascii="Times New Roman" w:hAnsi="Times New Roman" w:cs="Times New Roman"/>
          <w:sz w:val="28"/>
          <w:szCs w:val="28"/>
        </w:rPr>
        <w:t xml:space="preserve"> a tal respecto, y por lo tanto esto no es </w:t>
      </w:r>
      <w:r w:rsidR="00524433">
        <w:rPr>
          <w:rFonts w:ascii="Times New Roman" w:hAnsi="Times New Roman" w:cs="Times New Roman"/>
          <w:sz w:val="28"/>
          <w:szCs w:val="28"/>
        </w:rPr>
        <w:t>una cuestión por transponer</w:t>
      </w:r>
      <w:r>
        <w:rPr>
          <w:rFonts w:ascii="Times New Roman" w:hAnsi="Times New Roman" w:cs="Times New Roman"/>
          <w:sz w:val="28"/>
          <w:szCs w:val="28"/>
        </w:rPr>
        <w:t>, pues no figura en la norma Comunitaria.</w:t>
      </w:r>
    </w:p>
    <w:p w14:paraId="56CA21F9" w14:textId="53F4B7A3" w:rsidR="008F6612" w:rsidRDefault="008F6612" w:rsidP="008F6612">
      <w:pPr>
        <w:jc w:val="both"/>
        <w:rPr>
          <w:rFonts w:ascii="Times New Roman" w:hAnsi="Times New Roman" w:cs="Times New Roman"/>
          <w:sz w:val="28"/>
          <w:szCs w:val="28"/>
        </w:rPr>
      </w:pPr>
      <w:r>
        <w:rPr>
          <w:rFonts w:ascii="Times New Roman" w:hAnsi="Times New Roman" w:cs="Times New Roman"/>
          <w:sz w:val="28"/>
          <w:szCs w:val="28"/>
        </w:rPr>
        <w:t xml:space="preserve">Abundando en la no necesidad de legislación y menos todavía transponerla al Reglamento de Armas vigente, en el art.1.4 del mismo se regula </w:t>
      </w:r>
    </w:p>
    <w:p w14:paraId="212E5011" w14:textId="13FDEBC5" w:rsidR="008F6612" w:rsidRDefault="008F6612" w:rsidP="008F6612">
      <w:pPr>
        <w:jc w:val="both"/>
        <w:rPr>
          <w:rFonts w:ascii="Times New Roman" w:hAnsi="Times New Roman" w:cs="Times New Roman"/>
          <w:sz w:val="28"/>
          <w:szCs w:val="28"/>
        </w:rPr>
      </w:pPr>
      <w:r>
        <w:rPr>
          <w:rFonts w:ascii="Times New Roman" w:hAnsi="Times New Roman" w:cs="Times New Roman"/>
          <w:sz w:val="28"/>
          <w:szCs w:val="28"/>
        </w:rPr>
        <w:lastRenderedPageBreak/>
        <w:t>“</w:t>
      </w:r>
      <w:r w:rsidRPr="008F6612">
        <w:rPr>
          <w:rFonts w:ascii="Times New Roman" w:hAnsi="Times New Roman" w:cs="Times New Roman"/>
          <w:i/>
          <w:iCs/>
          <w:sz w:val="28"/>
          <w:szCs w:val="28"/>
        </w:rPr>
        <w:t>4. Quedan excluidos del ámbito de aplicación de este Reglamento, y se regirán por la normativa especial dictada al efecto, la adquisición, tenencia y uso de armas por las Fuerzas Armadas, las Fuerzas y Cuerpos de Seguridad y el Centro Nacional de Inteligencia. Para el desarrollo de sus funciones también quedan excluidos los establecimientos e instalaciones de dichas Fuerzas y Cuerpos y del Centro Nacional de Inteligencia</w:t>
      </w:r>
      <w:r>
        <w:rPr>
          <w:rFonts w:ascii="Times New Roman" w:hAnsi="Times New Roman" w:cs="Times New Roman"/>
          <w:sz w:val="28"/>
          <w:szCs w:val="28"/>
        </w:rPr>
        <w:t>”</w:t>
      </w:r>
    </w:p>
    <w:p w14:paraId="36B16358" w14:textId="5C18C049" w:rsidR="008F6612" w:rsidRDefault="008F6612" w:rsidP="008F6612">
      <w:pPr>
        <w:jc w:val="both"/>
        <w:rPr>
          <w:rFonts w:ascii="Times New Roman" w:hAnsi="Times New Roman" w:cs="Times New Roman"/>
          <w:sz w:val="28"/>
          <w:szCs w:val="28"/>
        </w:rPr>
      </w:pPr>
      <w:r>
        <w:rPr>
          <w:rFonts w:ascii="Times New Roman" w:hAnsi="Times New Roman" w:cs="Times New Roman"/>
          <w:sz w:val="28"/>
          <w:szCs w:val="28"/>
        </w:rPr>
        <w:t xml:space="preserve">Si la tenencia y uso, junto con los establecimientos de las Fuerzas y Cuerpos de Seguridad están exentos de la aplicación del Reglamento, en los cuales, a sazón del art. 2.C de </w:t>
      </w:r>
      <w:r w:rsidR="00524433">
        <w:rPr>
          <w:rFonts w:ascii="Times New Roman" w:hAnsi="Times New Roman" w:cs="Times New Roman"/>
          <w:sz w:val="28"/>
          <w:szCs w:val="28"/>
        </w:rPr>
        <w:t>la Ley</w:t>
      </w:r>
      <w:r w:rsidRPr="008F6612">
        <w:rPr>
          <w:rFonts w:ascii="Times New Roman" w:hAnsi="Times New Roman" w:cs="Times New Roman"/>
          <w:sz w:val="28"/>
          <w:szCs w:val="28"/>
        </w:rPr>
        <w:t xml:space="preserve"> Orgánica 2/1986, de 13 de marzo, de Fuerzas y Cuerpos de Seguridad:</w:t>
      </w:r>
      <w:r>
        <w:rPr>
          <w:rFonts w:ascii="Times New Roman" w:hAnsi="Times New Roman" w:cs="Times New Roman"/>
          <w:sz w:val="28"/>
          <w:szCs w:val="28"/>
        </w:rPr>
        <w:t xml:space="preserve"> </w:t>
      </w:r>
    </w:p>
    <w:p w14:paraId="6C76C8A3" w14:textId="77777777" w:rsidR="008F6612" w:rsidRPr="008F6612" w:rsidRDefault="008F6612" w:rsidP="008F6612">
      <w:pPr>
        <w:jc w:val="both"/>
        <w:rPr>
          <w:rFonts w:ascii="Times New Roman" w:hAnsi="Times New Roman" w:cs="Times New Roman"/>
          <w:i/>
          <w:iCs/>
          <w:sz w:val="28"/>
          <w:szCs w:val="28"/>
        </w:rPr>
      </w:pPr>
      <w:r w:rsidRPr="008F6612">
        <w:rPr>
          <w:rFonts w:ascii="Times New Roman" w:hAnsi="Times New Roman" w:cs="Times New Roman"/>
          <w:i/>
          <w:iCs/>
          <w:sz w:val="28"/>
          <w:szCs w:val="28"/>
        </w:rPr>
        <w:t xml:space="preserve">Son Fuerzas y Cuerpos de Seguridad </w:t>
      </w:r>
    </w:p>
    <w:p w14:paraId="091A7C9D" w14:textId="193E430C" w:rsidR="008F6612" w:rsidRDefault="008F6612" w:rsidP="008F6612">
      <w:pPr>
        <w:jc w:val="both"/>
        <w:rPr>
          <w:rFonts w:ascii="Times New Roman" w:hAnsi="Times New Roman" w:cs="Times New Roman"/>
          <w:i/>
          <w:iCs/>
          <w:sz w:val="28"/>
          <w:szCs w:val="28"/>
        </w:rPr>
      </w:pPr>
      <w:r w:rsidRPr="008F6612">
        <w:rPr>
          <w:rFonts w:ascii="Times New Roman" w:hAnsi="Times New Roman" w:cs="Times New Roman"/>
          <w:i/>
          <w:iCs/>
          <w:sz w:val="28"/>
          <w:szCs w:val="28"/>
        </w:rPr>
        <w:t xml:space="preserve">c) “Los Cuerpos de Policía dependientes de las Corporaciones Locales” </w:t>
      </w:r>
    </w:p>
    <w:p w14:paraId="6CB1F981" w14:textId="471ED95F" w:rsidR="008F6612" w:rsidRDefault="00920B15" w:rsidP="008F6612">
      <w:pPr>
        <w:jc w:val="both"/>
        <w:rPr>
          <w:rFonts w:ascii="Times New Roman" w:hAnsi="Times New Roman" w:cs="Times New Roman"/>
          <w:sz w:val="28"/>
          <w:szCs w:val="28"/>
        </w:rPr>
      </w:pPr>
      <w:r>
        <w:rPr>
          <w:rFonts w:ascii="Times New Roman" w:hAnsi="Times New Roman" w:cs="Times New Roman"/>
          <w:sz w:val="28"/>
          <w:szCs w:val="28"/>
        </w:rPr>
        <w:t>Si están excluidos, no es necesaria una modificación reglamentaria para volver a excluirlos otra vez.</w:t>
      </w:r>
    </w:p>
    <w:p w14:paraId="7F603951" w14:textId="52C3DFB9" w:rsidR="00920B15" w:rsidRDefault="00524433" w:rsidP="00B83AB9">
      <w:pPr>
        <w:jc w:val="both"/>
        <w:rPr>
          <w:rFonts w:ascii="Times New Roman" w:hAnsi="Times New Roman" w:cs="Times New Roman"/>
          <w:sz w:val="28"/>
          <w:szCs w:val="28"/>
        </w:rPr>
      </w:pPr>
      <w:r>
        <w:rPr>
          <w:rFonts w:ascii="Times New Roman" w:hAnsi="Times New Roman" w:cs="Times New Roman"/>
          <w:sz w:val="28"/>
          <w:szCs w:val="28"/>
        </w:rPr>
        <w:t>DÉCIMA. -</w:t>
      </w:r>
      <w:r w:rsidR="00B83AB9">
        <w:rPr>
          <w:rFonts w:ascii="Times New Roman" w:hAnsi="Times New Roman" w:cs="Times New Roman"/>
          <w:sz w:val="28"/>
          <w:szCs w:val="28"/>
        </w:rPr>
        <w:t xml:space="preserve"> Resumen de la Propuesta</w:t>
      </w:r>
    </w:p>
    <w:p w14:paraId="3BEEDD7E" w14:textId="1DD92967" w:rsidR="00B83AB9" w:rsidRDefault="00E4253C" w:rsidP="00B83AB9">
      <w:pPr>
        <w:jc w:val="both"/>
        <w:rPr>
          <w:rFonts w:ascii="Times New Roman" w:hAnsi="Times New Roman" w:cs="Times New Roman"/>
          <w:sz w:val="28"/>
          <w:szCs w:val="28"/>
        </w:rPr>
      </w:pPr>
      <w:r>
        <w:rPr>
          <w:rFonts w:ascii="Times New Roman" w:hAnsi="Times New Roman" w:cs="Times New Roman"/>
          <w:sz w:val="28"/>
          <w:szCs w:val="28"/>
        </w:rPr>
        <w:t xml:space="preserve">Con motivo de una </w:t>
      </w:r>
      <w:r w:rsidRPr="00E4253C">
        <w:rPr>
          <w:rFonts w:ascii="Times New Roman" w:hAnsi="Times New Roman" w:cs="Times New Roman"/>
          <w:sz w:val="28"/>
          <w:szCs w:val="28"/>
        </w:rPr>
        <w:t>Carta de Emplazamiento de la Comisión Europea al Reino de España por la indebida trasposición de la Directiva UE 2021/555 sobre el control de la adquisición y uso de armas de fuego al Reglamento de Armas</w:t>
      </w:r>
      <w:r>
        <w:rPr>
          <w:rFonts w:ascii="Times New Roman" w:hAnsi="Times New Roman" w:cs="Times New Roman"/>
          <w:sz w:val="28"/>
          <w:szCs w:val="28"/>
        </w:rPr>
        <w:t>, en la que se insta a transponer la directiva al derecho interno del marcaje de las armas artísticas y de sistema Flobert, la administración actuante ha aprovechado para introducir una reforma de calado, de ámbitos totalmente ajenos a respuesta al emplazamiento Comunitario, entre los que figuran:</w:t>
      </w:r>
    </w:p>
    <w:p w14:paraId="6F7CD6F9" w14:textId="06FF47AF"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Ámbito Organizativo de la propia Guardia Civil.</w:t>
      </w:r>
    </w:p>
    <w:p w14:paraId="00279518" w14:textId="43181561"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Ámbito Organizativo de Concesión de Licencias C, D, E.</w:t>
      </w:r>
    </w:p>
    <w:p w14:paraId="23387ACC" w14:textId="5957D36A"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Introducción Segunda Instancia Procedimientos relacionados con Intervención de Armas</w:t>
      </w:r>
    </w:p>
    <w:p w14:paraId="25E2B454" w14:textId="405229B8"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Supresión del vigente Silencio Desestimatorio ilícito, por el válido en derecho Estimatorio.</w:t>
      </w:r>
    </w:p>
    <w:p w14:paraId="372169B5" w14:textId="7B1EE8D2"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Modificación Reglamento de Cartuchería y Pirotecnia</w:t>
      </w:r>
    </w:p>
    <w:p w14:paraId="2A7DBE1C" w14:textId="05277F47"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Obligación Curso Previo Obtención Licencias </w:t>
      </w:r>
      <w:r w:rsidR="00524433">
        <w:rPr>
          <w:rFonts w:ascii="Times New Roman" w:hAnsi="Times New Roman" w:cs="Times New Roman"/>
          <w:sz w:val="28"/>
          <w:szCs w:val="28"/>
        </w:rPr>
        <w:t>B, C, D, E</w:t>
      </w:r>
      <w:r>
        <w:rPr>
          <w:rFonts w:ascii="Times New Roman" w:hAnsi="Times New Roman" w:cs="Times New Roman"/>
          <w:sz w:val="28"/>
          <w:szCs w:val="28"/>
        </w:rPr>
        <w:t xml:space="preserve"> y F, AEM</w:t>
      </w:r>
    </w:p>
    <w:p w14:paraId="01A23D9E" w14:textId="599797CB"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Recortes, camuflados como Endurecimiento acceso, uso y tenencia armas blancas tipo “machetes”</w:t>
      </w:r>
    </w:p>
    <w:p w14:paraId="5C6AFF10" w14:textId="556B9027"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Recortes, camuflados </w:t>
      </w:r>
      <w:r w:rsidR="00524433">
        <w:rPr>
          <w:rFonts w:ascii="Times New Roman" w:hAnsi="Times New Roman" w:cs="Times New Roman"/>
          <w:sz w:val="28"/>
          <w:szCs w:val="28"/>
        </w:rPr>
        <w:t>como Endurecimiento</w:t>
      </w:r>
      <w:r>
        <w:rPr>
          <w:rFonts w:ascii="Times New Roman" w:hAnsi="Times New Roman" w:cs="Times New Roman"/>
          <w:sz w:val="28"/>
          <w:szCs w:val="28"/>
        </w:rPr>
        <w:t xml:space="preserve"> acceso, uso y tenencia de denominadas “armas tácticas”, también las que se utilicen para concurso.</w:t>
      </w:r>
    </w:p>
    <w:p w14:paraId="1A3E9113" w14:textId="44D85A9A"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Unificación Licencias D y E</w:t>
      </w:r>
    </w:p>
    <w:p w14:paraId="3A6ED6ED" w14:textId="3C3EE3AF"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lastRenderedPageBreak/>
        <w:t>De paso, supresión límites armas amparables en Licencia “D”, estableciendo límites que todavía se desconocen.</w:t>
      </w:r>
    </w:p>
    <w:p w14:paraId="480EA8CD" w14:textId="192B1D19" w:rsidR="00E4253C" w:rsidRDefault="00524433"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Compatibilidad</w:t>
      </w:r>
      <w:r w:rsidR="00E4253C">
        <w:rPr>
          <w:rFonts w:ascii="Times New Roman" w:hAnsi="Times New Roman" w:cs="Times New Roman"/>
          <w:sz w:val="28"/>
          <w:szCs w:val="28"/>
        </w:rPr>
        <w:t xml:space="preserve"> uso Rifles tanto caza mayor como tiro deportivo</w:t>
      </w:r>
    </w:p>
    <w:p w14:paraId="470715EF" w14:textId="04743F7E" w:rsidR="00E4253C" w:rsidRDefault="00E4253C" w:rsidP="00E4253C">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Ampliación de tenencia y uso de armas de 1ª Clase en Licencia de Tiro Deportivo “F”, y de paso, supresión de elegir arma en 3ª Categoría, únicamente relegados al calibre .22 LR</w:t>
      </w:r>
    </w:p>
    <w:p w14:paraId="75E97E47" w14:textId="77777777" w:rsidR="00E4253C" w:rsidRDefault="00E4253C" w:rsidP="00E4253C">
      <w:pPr>
        <w:jc w:val="both"/>
        <w:rPr>
          <w:rFonts w:ascii="Times New Roman" w:hAnsi="Times New Roman" w:cs="Times New Roman"/>
          <w:sz w:val="28"/>
          <w:szCs w:val="28"/>
        </w:rPr>
      </w:pPr>
    </w:p>
    <w:p w14:paraId="155E8876" w14:textId="4ECF446B" w:rsidR="00E4253C" w:rsidRDefault="00E4253C" w:rsidP="00E4253C">
      <w:pPr>
        <w:jc w:val="both"/>
        <w:rPr>
          <w:rFonts w:ascii="Times New Roman" w:hAnsi="Times New Roman" w:cs="Times New Roman"/>
          <w:sz w:val="28"/>
          <w:szCs w:val="28"/>
        </w:rPr>
      </w:pPr>
      <w:r>
        <w:rPr>
          <w:rFonts w:ascii="Times New Roman" w:hAnsi="Times New Roman" w:cs="Times New Roman"/>
          <w:sz w:val="28"/>
          <w:szCs w:val="28"/>
        </w:rPr>
        <w:t>Todo ello, se encuentra fuera del emplazamiento, y por lo tanto no es una requisitoria sino un aprovechamiento para introducir reformas, al albur de una supuesta obligación, que para nada se circunscribe a lo requerido por la Instancia Europea.</w:t>
      </w:r>
    </w:p>
    <w:p w14:paraId="6341B1D6" w14:textId="587EB5DB" w:rsidR="00E4253C" w:rsidRDefault="00E4253C" w:rsidP="00E4253C">
      <w:pPr>
        <w:jc w:val="both"/>
        <w:rPr>
          <w:rFonts w:ascii="Times New Roman" w:hAnsi="Times New Roman" w:cs="Times New Roman"/>
          <w:sz w:val="28"/>
          <w:szCs w:val="28"/>
        </w:rPr>
      </w:pPr>
      <w:r>
        <w:rPr>
          <w:rFonts w:ascii="Times New Roman" w:hAnsi="Times New Roman" w:cs="Times New Roman"/>
          <w:sz w:val="28"/>
          <w:szCs w:val="28"/>
        </w:rPr>
        <w:t xml:space="preserve">Es por ello </w:t>
      </w:r>
      <w:r w:rsidR="00524433">
        <w:rPr>
          <w:rFonts w:ascii="Times New Roman" w:hAnsi="Times New Roman" w:cs="Times New Roman"/>
          <w:sz w:val="28"/>
          <w:szCs w:val="28"/>
        </w:rPr>
        <w:t>por lo que</w:t>
      </w:r>
      <w:r>
        <w:rPr>
          <w:rFonts w:ascii="Times New Roman" w:hAnsi="Times New Roman" w:cs="Times New Roman"/>
          <w:sz w:val="28"/>
          <w:szCs w:val="28"/>
        </w:rPr>
        <w:t xml:space="preserve"> dichas medidas, aparte de </w:t>
      </w:r>
      <w:proofErr w:type="spellStart"/>
      <w:r>
        <w:rPr>
          <w:rFonts w:ascii="Times New Roman" w:hAnsi="Times New Roman" w:cs="Times New Roman"/>
          <w:sz w:val="28"/>
          <w:szCs w:val="28"/>
        </w:rPr>
        <w:t>como</w:t>
      </w:r>
      <w:proofErr w:type="spellEnd"/>
      <w:r>
        <w:rPr>
          <w:rFonts w:ascii="Times New Roman" w:hAnsi="Times New Roman" w:cs="Times New Roman"/>
          <w:sz w:val="28"/>
          <w:szCs w:val="28"/>
        </w:rPr>
        <w:t xml:space="preserve"> se han indicado, ineficaces a todas luces, son en gran parte innecesarias y que únicamente van a </w:t>
      </w:r>
      <w:r w:rsidR="00E87C3F">
        <w:rPr>
          <w:rFonts w:ascii="Times New Roman" w:hAnsi="Times New Roman" w:cs="Times New Roman"/>
          <w:sz w:val="28"/>
          <w:szCs w:val="28"/>
        </w:rPr>
        <w:t>implicar recortes, supresiones en los ya paupérrimos y exiguos derechos de los administrados, que van a ver una vuelta de tuerca más en cuanto a impedimentos y restricciones.</w:t>
      </w:r>
    </w:p>
    <w:p w14:paraId="656B0ED9" w14:textId="61F1C7D1" w:rsidR="00E87C3F" w:rsidRDefault="00E87C3F" w:rsidP="00E4253C">
      <w:pPr>
        <w:jc w:val="both"/>
        <w:rPr>
          <w:rFonts w:ascii="Times New Roman" w:hAnsi="Times New Roman" w:cs="Times New Roman"/>
          <w:sz w:val="28"/>
          <w:szCs w:val="28"/>
        </w:rPr>
      </w:pPr>
      <w:r>
        <w:rPr>
          <w:rFonts w:ascii="Times New Roman" w:hAnsi="Times New Roman" w:cs="Times New Roman"/>
          <w:sz w:val="28"/>
          <w:szCs w:val="28"/>
        </w:rPr>
        <w:t xml:space="preserve">Por último, recordar, que el Instituto Armado es el primero que debe de someterse al Ordenamiento Jurídico, y este, obliga a la administración a </w:t>
      </w:r>
      <w:r w:rsidR="00F76A54">
        <w:rPr>
          <w:rFonts w:ascii="Times New Roman" w:hAnsi="Times New Roman" w:cs="Times New Roman"/>
          <w:sz w:val="28"/>
          <w:szCs w:val="28"/>
        </w:rPr>
        <w:t>obrar, “</w:t>
      </w:r>
      <w:r w:rsidR="00F76A54" w:rsidRPr="00F76A54">
        <w:rPr>
          <w:rFonts w:ascii="Times New Roman" w:hAnsi="Times New Roman" w:cs="Times New Roman"/>
          <w:i/>
          <w:iCs/>
          <w:sz w:val="28"/>
          <w:szCs w:val="28"/>
        </w:rPr>
        <w:t>La Constitución garantiza el principio de legalidad, la jerarquía normativa, la publicidad de las normas, la irretroactividad de las disposiciones sancionadoras no favorables o restrictivas de derechos individuales, la seguridad jurídica, la responsabilidad y la interdicción de la arbitrariedad de los poderes públicos</w:t>
      </w:r>
      <w:r w:rsidR="00F76A54" w:rsidRPr="00F76A54">
        <w:rPr>
          <w:rFonts w:ascii="Times New Roman" w:hAnsi="Times New Roman" w:cs="Times New Roman"/>
          <w:sz w:val="28"/>
          <w:szCs w:val="28"/>
        </w:rPr>
        <w:t>.</w:t>
      </w:r>
      <w:r w:rsidR="00F76A54">
        <w:rPr>
          <w:rFonts w:ascii="Times New Roman" w:hAnsi="Times New Roman" w:cs="Times New Roman"/>
          <w:sz w:val="28"/>
          <w:szCs w:val="28"/>
        </w:rPr>
        <w:t xml:space="preserve">” (art. 9.3 Carta Magna), que se vienen también reflejados en el art. 3 de la </w:t>
      </w:r>
      <w:r w:rsidR="00F76A54" w:rsidRPr="00F76A54">
        <w:rPr>
          <w:rFonts w:ascii="Times New Roman" w:hAnsi="Times New Roman" w:cs="Times New Roman"/>
          <w:sz w:val="28"/>
          <w:szCs w:val="28"/>
        </w:rPr>
        <w:t>Ley 40/2015, de 1 de octubre, de Régimen Jurídico del Sector Público</w:t>
      </w:r>
      <w:r w:rsidR="00F76A54">
        <w:rPr>
          <w:rFonts w:ascii="Times New Roman" w:hAnsi="Times New Roman" w:cs="Times New Roman"/>
          <w:sz w:val="28"/>
          <w:szCs w:val="28"/>
        </w:rPr>
        <w:t>:</w:t>
      </w:r>
    </w:p>
    <w:p w14:paraId="1A352640" w14:textId="1BA0DD70"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Las Administraciones Públicas sirven con objetividad los intereses generales y actúan de acuerdo con los principios de eficacia, jerarquía, descentralización, desconcentración y coordinación, con sometimiento pleno a la Constitución, a la Ley y al Derecho.</w:t>
      </w:r>
    </w:p>
    <w:p w14:paraId="040915A8"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Deberán respetar en su actuación y relaciones los siguientes principios:</w:t>
      </w:r>
    </w:p>
    <w:p w14:paraId="6B908E8B"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a) Servicio efectivo a los ciudadanos.</w:t>
      </w:r>
    </w:p>
    <w:p w14:paraId="23B95366"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b) Simplicidad, claridad y proximidad a los ciudadanos.</w:t>
      </w:r>
    </w:p>
    <w:p w14:paraId="17C12EEC"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c) Participación, objetividad y transparencia de la actuación administrativa.</w:t>
      </w:r>
    </w:p>
    <w:p w14:paraId="6931D66B"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d) Racionalización y agilidad de los procedimientos administrativos y de las actividades materiales de gestión.</w:t>
      </w:r>
    </w:p>
    <w:p w14:paraId="37FBBA09"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lastRenderedPageBreak/>
        <w:t>e) Buena fe, confianza legítima y lealtad institucional.</w:t>
      </w:r>
    </w:p>
    <w:p w14:paraId="4F1CCC14"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f) Responsabilidad por la gestión pública.</w:t>
      </w:r>
    </w:p>
    <w:p w14:paraId="1ECDE8D2"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g) Planificación y dirección por objetivos y control de la gestión y evaluación de los resultados de las políticas públicas.</w:t>
      </w:r>
    </w:p>
    <w:p w14:paraId="5C6973B0"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h) Eficacia en el cumplimiento de los objetivos fijados.</w:t>
      </w:r>
    </w:p>
    <w:p w14:paraId="54881801"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i) Economía, suficiencia y adecuación estricta de los medios a los fines institucionales.</w:t>
      </w:r>
    </w:p>
    <w:p w14:paraId="040DBBE1"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j) Eficiencia en la asignación y utilización de los recursos públicos.</w:t>
      </w:r>
    </w:p>
    <w:p w14:paraId="1DED4E3A" w14:textId="77777777" w:rsidR="00F76A54" w:rsidRPr="00F76A54" w:rsidRDefault="00F76A54" w:rsidP="00F76A54">
      <w:pPr>
        <w:jc w:val="both"/>
        <w:rPr>
          <w:rFonts w:ascii="Times New Roman" w:hAnsi="Times New Roman" w:cs="Times New Roman"/>
          <w:i/>
          <w:iCs/>
          <w:sz w:val="28"/>
          <w:szCs w:val="28"/>
        </w:rPr>
      </w:pPr>
      <w:r w:rsidRPr="00F76A54">
        <w:rPr>
          <w:rFonts w:ascii="Times New Roman" w:hAnsi="Times New Roman" w:cs="Times New Roman"/>
          <w:i/>
          <w:iCs/>
          <w:sz w:val="28"/>
          <w:szCs w:val="28"/>
        </w:rPr>
        <w:t>k) Cooperación, colaboración y coordinación entre las Administraciones Públicas.</w:t>
      </w:r>
    </w:p>
    <w:p w14:paraId="0EFBE6BC" w14:textId="536BFFA6" w:rsidR="00F76A54" w:rsidRDefault="00F76A54" w:rsidP="00E4253C">
      <w:pPr>
        <w:jc w:val="both"/>
        <w:rPr>
          <w:rFonts w:ascii="Times New Roman" w:hAnsi="Times New Roman" w:cs="Times New Roman"/>
          <w:sz w:val="28"/>
          <w:szCs w:val="28"/>
        </w:rPr>
      </w:pPr>
      <w:r>
        <w:rPr>
          <w:rFonts w:ascii="Times New Roman" w:hAnsi="Times New Roman" w:cs="Times New Roman"/>
          <w:sz w:val="28"/>
          <w:szCs w:val="28"/>
        </w:rPr>
        <w:t xml:space="preserve">Y en este momento, las reformas necesarias son la implementación de la Directiva, y no una mera interpretación de </w:t>
      </w:r>
      <w:r w:rsidR="00524433">
        <w:rPr>
          <w:rFonts w:ascii="Times New Roman" w:hAnsi="Times New Roman" w:cs="Times New Roman"/>
          <w:sz w:val="28"/>
          <w:szCs w:val="28"/>
        </w:rPr>
        <w:t>esta</w:t>
      </w:r>
      <w:r>
        <w:rPr>
          <w:rFonts w:ascii="Times New Roman" w:hAnsi="Times New Roman" w:cs="Times New Roman"/>
          <w:sz w:val="28"/>
          <w:szCs w:val="28"/>
        </w:rPr>
        <w:t>.</w:t>
      </w:r>
    </w:p>
    <w:p w14:paraId="71201A5C" w14:textId="6A4E0F89" w:rsidR="00F76A54" w:rsidRDefault="00F76A54" w:rsidP="00E4253C">
      <w:pPr>
        <w:jc w:val="both"/>
        <w:rPr>
          <w:rFonts w:ascii="Times New Roman" w:hAnsi="Times New Roman" w:cs="Times New Roman"/>
          <w:sz w:val="28"/>
          <w:szCs w:val="28"/>
        </w:rPr>
      </w:pPr>
      <w:r>
        <w:rPr>
          <w:rFonts w:ascii="Times New Roman" w:hAnsi="Times New Roman" w:cs="Times New Roman"/>
          <w:sz w:val="28"/>
          <w:szCs w:val="28"/>
        </w:rPr>
        <w:t xml:space="preserve">Es por todo ello, que se </w:t>
      </w:r>
      <w:r w:rsidRPr="00F76A54">
        <w:rPr>
          <w:rFonts w:ascii="Times New Roman" w:hAnsi="Times New Roman" w:cs="Times New Roman"/>
          <w:b/>
          <w:bCs/>
          <w:sz w:val="28"/>
          <w:szCs w:val="28"/>
        </w:rPr>
        <w:t>SOLICITA</w:t>
      </w:r>
      <w:r>
        <w:rPr>
          <w:rFonts w:ascii="Times New Roman" w:hAnsi="Times New Roman" w:cs="Times New Roman"/>
          <w:sz w:val="28"/>
          <w:szCs w:val="28"/>
        </w:rPr>
        <w:t xml:space="preserve"> a la Administración Actuante.</w:t>
      </w:r>
    </w:p>
    <w:p w14:paraId="39AFF52A" w14:textId="1D9282A6" w:rsidR="00F76A54" w:rsidRDefault="00F76A54" w:rsidP="00F76A54">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Que se tengan por interpuestas las presentes ALEGACIONES en tiempo y forma al </w:t>
      </w:r>
      <w:r w:rsidRPr="00F76A54">
        <w:rPr>
          <w:rFonts w:ascii="Times New Roman" w:hAnsi="Times New Roman" w:cs="Times New Roman"/>
          <w:sz w:val="28"/>
          <w:szCs w:val="28"/>
        </w:rPr>
        <w:t>PROYECTO DE REAL DECRETO POR EL QUE SE MODIFICA EL REGLAMENTO DE ARMAS</w:t>
      </w:r>
      <w:r>
        <w:rPr>
          <w:rFonts w:ascii="Times New Roman" w:hAnsi="Times New Roman" w:cs="Times New Roman"/>
          <w:sz w:val="28"/>
          <w:szCs w:val="28"/>
        </w:rPr>
        <w:t>.</w:t>
      </w:r>
    </w:p>
    <w:p w14:paraId="6C4EDBB2" w14:textId="305A63C8" w:rsidR="00F76A54" w:rsidRDefault="00F76A54" w:rsidP="00F76A54">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Que se sirvan en admitirse a trámite.</w:t>
      </w:r>
    </w:p>
    <w:p w14:paraId="5FEF4C97" w14:textId="7DF4F657" w:rsidR="00F76A54" w:rsidRDefault="00F76A54" w:rsidP="00F76A54">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Que se estimen en su Integridad</w:t>
      </w:r>
      <w:r w:rsidR="00DC0356">
        <w:rPr>
          <w:rFonts w:ascii="Times New Roman" w:hAnsi="Times New Roman" w:cs="Times New Roman"/>
          <w:sz w:val="28"/>
          <w:szCs w:val="28"/>
        </w:rPr>
        <w:t xml:space="preserve">, transponiendo la </w:t>
      </w:r>
      <w:r w:rsidR="00DC0356" w:rsidRPr="00DC0356">
        <w:rPr>
          <w:rFonts w:ascii="Times New Roman" w:hAnsi="Times New Roman" w:cs="Times New Roman"/>
          <w:sz w:val="28"/>
          <w:szCs w:val="28"/>
        </w:rPr>
        <w:t>Directiva (UE) 2021/555 del Parlamento Europeo y del Consejo de 24 de marzo de 2021 sobre el control de la adquisición y tenencia de armas</w:t>
      </w:r>
      <w:r w:rsidR="00DC0356">
        <w:rPr>
          <w:rFonts w:ascii="Times New Roman" w:hAnsi="Times New Roman" w:cs="Times New Roman"/>
          <w:sz w:val="28"/>
          <w:szCs w:val="28"/>
        </w:rPr>
        <w:t>, al ordenamiento vigente tal cual.</w:t>
      </w:r>
    </w:p>
    <w:p w14:paraId="199CA55E" w14:textId="14747BD0" w:rsidR="00DC0356" w:rsidRDefault="00DC0356" w:rsidP="00F76A54">
      <w:pPr>
        <w:pStyle w:val="Prrafodelista"/>
        <w:numPr>
          <w:ilvl w:val="0"/>
          <w:numId w:val="3"/>
        </w:numPr>
        <w:jc w:val="both"/>
        <w:rPr>
          <w:rFonts w:ascii="Times New Roman" w:hAnsi="Times New Roman" w:cs="Times New Roman"/>
          <w:sz w:val="28"/>
          <w:szCs w:val="28"/>
        </w:rPr>
      </w:pPr>
      <w:r>
        <w:rPr>
          <w:rFonts w:ascii="Times New Roman" w:hAnsi="Times New Roman" w:cs="Times New Roman"/>
          <w:sz w:val="28"/>
          <w:szCs w:val="28"/>
        </w:rPr>
        <w:t>Y que se descarten y procédase al archivo las medidas propuestas que aquí se han fundamentado en derecho:</w:t>
      </w:r>
    </w:p>
    <w:p w14:paraId="4EB01016" w14:textId="3E911DB1" w:rsidR="00DC0356" w:rsidRDefault="00DC0356" w:rsidP="00DC0356">
      <w:pPr>
        <w:pStyle w:val="Prrafodelista"/>
        <w:numPr>
          <w:ilvl w:val="1"/>
          <w:numId w:val="3"/>
        </w:numPr>
        <w:jc w:val="both"/>
        <w:rPr>
          <w:rFonts w:ascii="Times New Roman" w:hAnsi="Times New Roman" w:cs="Times New Roman"/>
          <w:sz w:val="28"/>
          <w:szCs w:val="28"/>
        </w:rPr>
      </w:pPr>
      <w:r>
        <w:rPr>
          <w:rFonts w:ascii="Times New Roman" w:hAnsi="Times New Roman" w:cs="Times New Roman"/>
          <w:sz w:val="28"/>
          <w:szCs w:val="28"/>
        </w:rPr>
        <w:t xml:space="preserve">Establecimiento de Límites a la Adquisición de Armas de fuego </w:t>
      </w:r>
      <w:proofErr w:type="spellStart"/>
      <w:r>
        <w:rPr>
          <w:rFonts w:ascii="Times New Roman" w:hAnsi="Times New Roman" w:cs="Times New Roman"/>
          <w:sz w:val="28"/>
          <w:szCs w:val="28"/>
        </w:rPr>
        <w:t>guiables</w:t>
      </w:r>
      <w:proofErr w:type="spellEnd"/>
      <w:r>
        <w:rPr>
          <w:rFonts w:ascii="Times New Roman" w:hAnsi="Times New Roman" w:cs="Times New Roman"/>
          <w:sz w:val="28"/>
          <w:szCs w:val="28"/>
        </w:rPr>
        <w:t xml:space="preserve"> con licencia de armas tipo “D”</w:t>
      </w:r>
    </w:p>
    <w:p w14:paraId="3538446A" w14:textId="26936CEC" w:rsidR="00DC0356" w:rsidRDefault="00DC0356" w:rsidP="00DC0356">
      <w:pPr>
        <w:pStyle w:val="Prrafodelista"/>
        <w:numPr>
          <w:ilvl w:val="1"/>
          <w:numId w:val="3"/>
        </w:numPr>
        <w:jc w:val="both"/>
        <w:rPr>
          <w:rFonts w:ascii="Times New Roman" w:hAnsi="Times New Roman" w:cs="Times New Roman"/>
          <w:sz w:val="28"/>
          <w:szCs w:val="28"/>
        </w:rPr>
      </w:pPr>
      <w:r>
        <w:rPr>
          <w:rFonts w:ascii="Times New Roman" w:hAnsi="Times New Roman" w:cs="Times New Roman"/>
          <w:sz w:val="28"/>
          <w:szCs w:val="28"/>
        </w:rPr>
        <w:t>Establecimiento de límites a la categoría 3ª licencia tipo “F”</w:t>
      </w:r>
    </w:p>
    <w:p w14:paraId="53C91410" w14:textId="12D3EA93" w:rsidR="00DC0356" w:rsidRDefault="00DC0356" w:rsidP="00DC0356">
      <w:pPr>
        <w:pStyle w:val="Prrafodelista"/>
        <w:numPr>
          <w:ilvl w:val="1"/>
          <w:numId w:val="3"/>
        </w:numPr>
        <w:jc w:val="both"/>
        <w:rPr>
          <w:rFonts w:ascii="Times New Roman" w:hAnsi="Times New Roman" w:cs="Times New Roman"/>
          <w:sz w:val="28"/>
          <w:szCs w:val="28"/>
        </w:rPr>
      </w:pPr>
      <w:r>
        <w:rPr>
          <w:rFonts w:ascii="Times New Roman" w:hAnsi="Times New Roman" w:cs="Times New Roman"/>
          <w:sz w:val="28"/>
          <w:szCs w:val="28"/>
        </w:rPr>
        <w:t xml:space="preserve">Establecimiento de </w:t>
      </w:r>
      <w:r w:rsidR="003B5342">
        <w:rPr>
          <w:rFonts w:ascii="Times New Roman" w:hAnsi="Times New Roman" w:cs="Times New Roman"/>
          <w:sz w:val="28"/>
          <w:szCs w:val="28"/>
        </w:rPr>
        <w:t>límites</w:t>
      </w:r>
      <w:r>
        <w:rPr>
          <w:rFonts w:ascii="Times New Roman" w:hAnsi="Times New Roman" w:cs="Times New Roman"/>
          <w:sz w:val="28"/>
          <w:szCs w:val="28"/>
        </w:rPr>
        <w:t xml:space="preserve"> y endurecimiento al acceso a legítimas armas de fuego “de las denominadas tácticas” o de aspecto militar /policial.</w:t>
      </w:r>
    </w:p>
    <w:p w14:paraId="047A0E95" w14:textId="03316B3C" w:rsidR="00DC0356" w:rsidRDefault="00DC0356" w:rsidP="00DC0356">
      <w:pPr>
        <w:pStyle w:val="Prrafodelista"/>
        <w:numPr>
          <w:ilvl w:val="1"/>
          <w:numId w:val="3"/>
        </w:numPr>
        <w:jc w:val="both"/>
        <w:rPr>
          <w:rFonts w:ascii="Times New Roman" w:hAnsi="Times New Roman" w:cs="Times New Roman"/>
          <w:sz w:val="28"/>
          <w:szCs w:val="28"/>
        </w:rPr>
      </w:pPr>
      <w:r>
        <w:rPr>
          <w:rFonts w:ascii="Times New Roman" w:hAnsi="Times New Roman" w:cs="Times New Roman"/>
          <w:sz w:val="28"/>
          <w:szCs w:val="28"/>
        </w:rPr>
        <w:t>Establecimiento obligatorio de un Curso Previo para la Obtención de Licencias de Armas tipo B, C, D, E y F</w:t>
      </w:r>
    </w:p>
    <w:p w14:paraId="0EBB8CAE" w14:textId="202F3ED4" w:rsidR="00DC0356" w:rsidRDefault="00DC0356" w:rsidP="00DC0356">
      <w:pPr>
        <w:jc w:val="both"/>
        <w:rPr>
          <w:rFonts w:ascii="Times New Roman" w:hAnsi="Times New Roman" w:cs="Times New Roman"/>
          <w:sz w:val="28"/>
          <w:szCs w:val="28"/>
        </w:rPr>
      </w:pPr>
      <w:r>
        <w:rPr>
          <w:rFonts w:ascii="Times New Roman" w:hAnsi="Times New Roman" w:cs="Times New Roman"/>
          <w:sz w:val="28"/>
          <w:szCs w:val="28"/>
        </w:rPr>
        <w:t xml:space="preserve">En </w:t>
      </w:r>
      <w:r w:rsidR="00D30988" w:rsidRPr="003B5342">
        <w:rPr>
          <w:rFonts w:ascii="Times New Roman" w:hAnsi="Times New Roman" w:cs="Times New Roman"/>
          <w:color w:val="FF0000"/>
          <w:sz w:val="28"/>
          <w:szCs w:val="28"/>
        </w:rPr>
        <w:t xml:space="preserve">TU MUNICIPIO </w:t>
      </w:r>
      <w:r>
        <w:rPr>
          <w:rFonts w:ascii="Times New Roman" w:hAnsi="Times New Roman" w:cs="Times New Roman"/>
          <w:sz w:val="28"/>
          <w:szCs w:val="28"/>
        </w:rPr>
        <w:t xml:space="preserve">, a </w:t>
      </w:r>
      <w:r w:rsidR="00D30988" w:rsidRPr="003B5342">
        <w:rPr>
          <w:rFonts w:ascii="Times New Roman" w:hAnsi="Times New Roman" w:cs="Times New Roman"/>
          <w:color w:val="FF0000"/>
          <w:sz w:val="28"/>
          <w:szCs w:val="28"/>
        </w:rPr>
        <w:t>XX</w:t>
      </w:r>
      <w:r w:rsidRPr="003B5342">
        <w:rPr>
          <w:rFonts w:ascii="Times New Roman" w:hAnsi="Times New Roman" w:cs="Times New Roman"/>
          <w:color w:val="FF0000"/>
          <w:sz w:val="28"/>
          <w:szCs w:val="28"/>
        </w:rPr>
        <w:t xml:space="preserve"> </w:t>
      </w:r>
      <w:r>
        <w:rPr>
          <w:rFonts w:ascii="Times New Roman" w:hAnsi="Times New Roman" w:cs="Times New Roman"/>
          <w:sz w:val="28"/>
          <w:szCs w:val="28"/>
        </w:rPr>
        <w:t>de Febrero de 2026</w:t>
      </w:r>
    </w:p>
    <w:p w14:paraId="0E1BE9C0" w14:textId="77777777" w:rsidR="00DC0356" w:rsidRPr="00DC0356" w:rsidRDefault="00DC0356" w:rsidP="00DC0356">
      <w:pPr>
        <w:jc w:val="both"/>
        <w:rPr>
          <w:rFonts w:ascii="Times New Roman" w:hAnsi="Times New Roman" w:cs="Times New Roman"/>
          <w:sz w:val="28"/>
          <w:szCs w:val="28"/>
        </w:rPr>
      </w:pPr>
    </w:p>
    <w:sectPr w:rsidR="00DC0356" w:rsidRPr="00DC0356">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0AE2B" w14:textId="77777777" w:rsidR="005D763D" w:rsidRDefault="005D763D" w:rsidP="001863AE">
      <w:pPr>
        <w:spacing w:after="0" w:line="240" w:lineRule="auto"/>
      </w:pPr>
      <w:r>
        <w:separator/>
      </w:r>
    </w:p>
  </w:endnote>
  <w:endnote w:type="continuationSeparator" w:id="0">
    <w:p w14:paraId="125BBAA8" w14:textId="77777777" w:rsidR="005D763D" w:rsidRDefault="005D763D" w:rsidP="00186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111021"/>
      <w:docPartObj>
        <w:docPartGallery w:val="Page Numbers (Bottom of Page)"/>
        <w:docPartUnique/>
      </w:docPartObj>
    </w:sdtPr>
    <w:sdtEndPr/>
    <w:sdtContent>
      <w:p w14:paraId="16D26FCF" w14:textId="219D5910" w:rsidR="00560E61" w:rsidRDefault="00560E61">
        <w:pPr>
          <w:pStyle w:val="Piedepgina"/>
          <w:jc w:val="right"/>
        </w:pPr>
        <w:r>
          <w:fldChar w:fldCharType="begin"/>
        </w:r>
        <w:r>
          <w:instrText>PAGE   \* MERGEFORMAT</w:instrText>
        </w:r>
        <w:r>
          <w:fldChar w:fldCharType="separate"/>
        </w:r>
        <w:r>
          <w:t>2</w:t>
        </w:r>
        <w:r>
          <w:fldChar w:fldCharType="end"/>
        </w:r>
      </w:p>
    </w:sdtContent>
  </w:sdt>
  <w:p w14:paraId="272FD045" w14:textId="77777777" w:rsidR="00560E61" w:rsidRDefault="00560E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C46A1" w14:textId="77777777" w:rsidR="005D763D" w:rsidRDefault="005D763D" w:rsidP="001863AE">
      <w:pPr>
        <w:spacing w:after="0" w:line="240" w:lineRule="auto"/>
      </w:pPr>
      <w:r>
        <w:separator/>
      </w:r>
    </w:p>
  </w:footnote>
  <w:footnote w:type="continuationSeparator" w:id="0">
    <w:p w14:paraId="5AA3AA7F" w14:textId="77777777" w:rsidR="005D763D" w:rsidRDefault="005D763D" w:rsidP="001863AE">
      <w:pPr>
        <w:spacing w:after="0" w:line="240" w:lineRule="auto"/>
      </w:pPr>
      <w:r>
        <w:continuationSeparator/>
      </w:r>
    </w:p>
  </w:footnote>
  <w:footnote w:id="1">
    <w:p w14:paraId="60522CD2" w14:textId="681D5620" w:rsidR="001863AE" w:rsidRDefault="001863AE">
      <w:pPr>
        <w:pStyle w:val="Textonotapie"/>
      </w:pPr>
      <w:r>
        <w:rPr>
          <w:rStyle w:val="Refdenotaalpie"/>
        </w:rPr>
        <w:footnoteRef/>
      </w:r>
      <w:r>
        <w:t xml:space="preserve"> </w:t>
      </w:r>
      <w:hyperlink r:id="rId1" w:history="1">
        <w:r w:rsidRPr="00FC5FF1">
          <w:rPr>
            <w:rStyle w:val="Hipervnculo"/>
          </w:rPr>
          <w:t>https://municion.org/producto/6-mm-flobert-original/</w:t>
        </w:r>
      </w:hyperlink>
    </w:p>
    <w:p w14:paraId="7ADC5072" w14:textId="19285932" w:rsidR="001863AE" w:rsidRDefault="001863AE">
      <w:pPr>
        <w:pStyle w:val="Textonotapie"/>
      </w:pPr>
      <w:r>
        <w:t>Consultado el día 19 de Febrero de 2026</w:t>
      </w:r>
    </w:p>
  </w:footnote>
  <w:footnote w:id="2">
    <w:p w14:paraId="39A6A7B9" w14:textId="1CE0339B" w:rsidR="001863AE" w:rsidRPr="00770543" w:rsidRDefault="001863AE">
      <w:pPr>
        <w:pStyle w:val="Textonotapie"/>
        <w:rPr>
          <w:rFonts w:ascii="Times New Roman" w:hAnsi="Times New Roman" w:cs="Times New Roman"/>
          <w:sz w:val="22"/>
          <w:szCs w:val="22"/>
        </w:rPr>
      </w:pPr>
      <w:r w:rsidRPr="00770543">
        <w:rPr>
          <w:rStyle w:val="Refdenotaalpie"/>
          <w:rFonts w:ascii="Times New Roman" w:hAnsi="Times New Roman" w:cs="Times New Roman"/>
          <w:sz w:val="22"/>
          <w:szCs w:val="22"/>
        </w:rPr>
        <w:footnoteRef/>
      </w:r>
      <w:r w:rsidRPr="00770543">
        <w:rPr>
          <w:rFonts w:ascii="Times New Roman" w:hAnsi="Times New Roman" w:cs="Times New Roman"/>
          <w:sz w:val="22"/>
          <w:szCs w:val="22"/>
        </w:rPr>
        <w:t xml:space="preserve"> </w:t>
      </w:r>
      <w:hyperlink r:id="rId2" w:history="1">
        <w:r w:rsidRPr="00770543">
          <w:rPr>
            <w:rStyle w:val="Hipervnculo"/>
            <w:rFonts w:ascii="Times New Roman" w:hAnsi="Times New Roman" w:cs="Times New Roman"/>
            <w:sz w:val="22"/>
            <w:szCs w:val="22"/>
          </w:rPr>
          <w:t>https://es.wikipedia.org/wiki/6_mm_Flobert</w:t>
        </w:r>
      </w:hyperlink>
    </w:p>
    <w:p w14:paraId="06C2ACC7" w14:textId="7D2BC5E4" w:rsidR="001863AE" w:rsidRPr="00770543" w:rsidRDefault="001863AE">
      <w:pPr>
        <w:pStyle w:val="Textonotapie"/>
        <w:rPr>
          <w:rFonts w:ascii="Times New Roman" w:hAnsi="Times New Roman" w:cs="Times New Roman"/>
          <w:sz w:val="22"/>
          <w:szCs w:val="22"/>
        </w:rPr>
      </w:pPr>
      <w:r w:rsidRPr="00770543">
        <w:rPr>
          <w:rFonts w:ascii="Times New Roman" w:hAnsi="Times New Roman" w:cs="Times New Roman"/>
          <w:sz w:val="22"/>
          <w:szCs w:val="22"/>
        </w:rPr>
        <w:t>Consultado el día 19 de Febrero de 2026</w:t>
      </w:r>
    </w:p>
  </w:footnote>
  <w:footnote w:id="3">
    <w:p w14:paraId="285CB1BC" w14:textId="3321B2F9" w:rsidR="001863AE" w:rsidRDefault="001863AE" w:rsidP="001863AE">
      <w:pPr>
        <w:pStyle w:val="Textonotapie"/>
      </w:pPr>
      <w:r w:rsidRPr="00770543">
        <w:rPr>
          <w:rStyle w:val="Refdenotaalpie"/>
          <w:rFonts w:ascii="Times New Roman" w:hAnsi="Times New Roman" w:cs="Times New Roman"/>
          <w:sz w:val="22"/>
          <w:szCs w:val="22"/>
        </w:rPr>
        <w:footnoteRef/>
      </w:r>
      <w:r w:rsidRPr="00DD1541">
        <w:rPr>
          <w:rFonts w:ascii="Times New Roman" w:hAnsi="Times New Roman" w:cs="Times New Roman"/>
          <w:sz w:val="22"/>
          <w:szCs w:val="22"/>
          <w:lang w:val="en-US"/>
        </w:rPr>
        <w:t xml:space="preserve"> </w:t>
      </w:r>
      <w:r w:rsidRPr="00DD1541">
        <w:rPr>
          <w:rFonts w:ascii="Times New Roman" w:hAnsi="Times New Roman" w:cs="Times New Roman"/>
          <w:sz w:val="22"/>
          <w:szCs w:val="22"/>
          <w:lang w:val="en-US"/>
        </w:rPr>
        <w:t>Cartridges of the World (11th Edition), Barnes, Frank C.; Skinner, Stan, Gun Digest Books</w:t>
      </w:r>
      <w:r w:rsidR="00770543" w:rsidRPr="00DD1541">
        <w:rPr>
          <w:rFonts w:ascii="Times New Roman" w:hAnsi="Times New Roman" w:cs="Times New Roman"/>
          <w:sz w:val="22"/>
          <w:szCs w:val="22"/>
          <w:lang w:val="en-US"/>
        </w:rPr>
        <w:t xml:space="preserve"> (Caribou Media Group)</w:t>
      </w:r>
      <w:r w:rsidRPr="00DD1541">
        <w:rPr>
          <w:rFonts w:ascii="Times New Roman" w:hAnsi="Times New Roman" w:cs="Times New Roman"/>
          <w:sz w:val="22"/>
          <w:szCs w:val="22"/>
          <w:lang w:val="en-US"/>
        </w:rPr>
        <w:t xml:space="preserve">, 2011, </w:t>
      </w:r>
      <w:r w:rsidR="00770543" w:rsidRPr="00DD1541">
        <w:rPr>
          <w:rFonts w:ascii="Times New Roman" w:hAnsi="Times New Roman" w:cs="Times New Roman"/>
          <w:sz w:val="22"/>
          <w:szCs w:val="22"/>
          <w:lang w:val="en-US"/>
        </w:rPr>
        <w:t xml:space="preserve">Appleton WI, </w:t>
      </w:r>
      <w:r w:rsidR="00524433" w:rsidRPr="00DD1541">
        <w:rPr>
          <w:rFonts w:ascii="Times New Roman" w:hAnsi="Times New Roman" w:cs="Times New Roman"/>
          <w:sz w:val="22"/>
          <w:szCs w:val="22"/>
          <w:lang w:val="en-US"/>
        </w:rPr>
        <w:t>EE. UU.</w:t>
      </w:r>
      <w:r w:rsidR="00770543" w:rsidRPr="00DD1541">
        <w:rPr>
          <w:rFonts w:ascii="Times New Roman" w:hAnsi="Times New Roman" w:cs="Times New Roman"/>
          <w:sz w:val="22"/>
          <w:szCs w:val="22"/>
          <w:lang w:val="en-US"/>
        </w:rPr>
        <w:t xml:space="preserve">. </w:t>
      </w:r>
      <w:r w:rsidR="00770543" w:rsidRPr="00770543">
        <w:rPr>
          <w:rFonts w:ascii="Times New Roman" w:hAnsi="Times New Roman" w:cs="Times New Roman"/>
          <w:sz w:val="22"/>
          <w:szCs w:val="22"/>
        </w:rPr>
        <w:t>ISBN 9780896892972</w:t>
      </w:r>
    </w:p>
  </w:footnote>
  <w:footnote w:id="4">
    <w:p w14:paraId="45279E56" w14:textId="2974473E" w:rsidR="001C4D80" w:rsidRDefault="001C4D80">
      <w:pPr>
        <w:pStyle w:val="Textonotapie"/>
      </w:pPr>
      <w:r>
        <w:rPr>
          <w:rStyle w:val="Refdenotaalpie"/>
        </w:rPr>
        <w:footnoteRef/>
      </w:r>
      <w:r>
        <w:t xml:space="preserve"> </w:t>
      </w:r>
      <w:hyperlink r:id="rId3" w:history="1">
        <w:r w:rsidRPr="00872C3C">
          <w:rPr>
            <w:rStyle w:val="Hipervnculo"/>
          </w:rPr>
          <w:t>https://cdn.website-editor.net/s/6dcfef937ddc4a15a23cbe9c69efbdd7/files/uploaded/REGLAMENTO+DE+RETROCARGA+2025.pdf?Expires=1774180181&amp;Signature=a5gok58emMV1uNBtLhnPv-HsD2t3FmMN2s15iXd6QjLNYpIa57HehrYtIr64RUTnqnZ4qdf5E52vKSgjN6~ekkDk1AN0gJCkLvw0ozTIJv8P5yZ1Oyc8bRXGsy-aU84wpv3jgUiFcP4HN0PtPIeC32bxa-uTv84eLXmhPdf9no9qAs~TnnhIB2os0zZQe-mXY0pdsCwnUGuNa990ixrAb~7fHoGPxIsaQ882~QBWLrDwBPzNU2l7v2DVyb-nSpMXZV5U6BncSvbEhMVbt-Pbq3BwlfpYcY3~bBuqCTtt9N-JAjNT-9LdNqO8~0ibyN0Z29qjFB6-nadIvXB90x~kdw__&amp;Key-Pair-Id=K2NXBXLF010TJW</w:t>
        </w:r>
      </w:hyperlink>
    </w:p>
    <w:p w14:paraId="5CB02679" w14:textId="08D65C09" w:rsidR="001C4D80" w:rsidRDefault="001C4D80">
      <w:pPr>
        <w:pStyle w:val="Textonotapie"/>
      </w:pPr>
      <w:r>
        <w:t>Consultado el día 22 de Febrero de 2026</w:t>
      </w:r>
    </w:p>
  </w:footnote>
  <w:footnote w:id="5">
    <w:p w14:paraId="38DF3965" w14:textId="5652D449" w:rsidR="001C4D80" w:rsidRDefault="001C4D80">
      <w:pPr>
        <w:pStyle w:val="Textonotapie"/>
      </w:pPr>
      <w:r>
        <w:rPr>
          <w:rStyle w:val="Refdenotaalpie"/>
        </w:rPr>
        <w:footnoteRef/>
      </w:r>
      <w:r>
        <w:t xml:space="preserve"> </w:t>
      </w:r>
      <w:hyperlink r:id="rId4" w:history="1">
        <w:r w:rsidRPr="00872C3C">
          <w:rPr>
            <w:rStyle w:val="Hipervnculo"/>
          </w:rPr>
          <w:t>https://www.tirolimpico.org/normativa/normativa-armas-historicas</w:t>
        </w:r>
      </w:hyperlink>
    </w:p>
    <w:p w14:paraId="37FC8959" w14:textId="5E2AD35B" w:rsidR="001C4D80" w:rsidRDefault="001C4D80">
      <w:pPr>
        <w:pStyle w:val="Textonotapie"/>
      </w:pPr>
      <w:r>
        <w:t xml:space="preserve"> Consultado el día 22 de Febrero de 2026</w:t>
      </w:r>
    </w:p>
    <w:p w14:paraId="5F3AC218" w14:textId="77777777" w:rsidR="001C4D80" w:rsidRDefault="001C4D80">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64772"/>
    <w:multiLevelType w:val="hybridMultilevel"/>
    <w:tmpl w:val="93FE11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22D7224"/>
    <w:multiLevelType w:val="hybridMultilevel"/>
    <w:tmpl w:val="27204B52"/>
    <w:lvl w:ilvl="0" w:tplc="6D8855AC">
      <w:numFmt w:val="bullet"/>
      <w:lvlText w:val="-"/>
      <w:lvlJc w:val="left"/>
      <w:pPr>
        <w:ind w:left="720" w:hanging="360"/>
      </w:pPr>
      <w:rPr>
        <w:rFonts w:ascii="Times New Roman" w:eastAsiaTheme="minorHAns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34B4B35"/>
    <w:multiLevelType w:val="hybridMultilevel"/>
    <w:tmpl w:val="40BCF8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4474F8C"/>
    <w:multiLevelType w:val="hybridMultilevel"/>
    <w:tmpl w:val="120EEB6C"/>
    <w:lvl w:ilvl="0" w:tplc="E788CB40">
      <w:start w:val="1"/>
      <w:numFmt w:val="decimal"/>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46B"/>
    <w:rsid w:val="00035B46"/>
    <w:rsid w:val="000C0E8B"/>
    <w:rsid w:val="00105952"/>
    <w:rsid w:val="001201C4"/>
    <w:rsid w:val="001278FB"/>
    <w:rsid w:val="001709E6"/>
    <w:rsid w:val="00173BBF"/>
    <w:rsid w:val="001863AE"/>
    <w:rsid w:val="001966A5"/>
    <w:rsid w:val="001C4D80"/>
    <w:rsid w:val="001D2ED8"/>
    <w:rsid w:val="001D5E6D"/>
    <w:rsid w:val="001E49DE"/>
    <w:rsid w:val="00204114"/>
    <w:rsid w:val="002179CB"/>
    <w:rsid w:val="002232AF"/>
    <w:rsid w:val="00242554"/>
    <w:rsid w:val="00280C24"/>
    <w:rsid w:val="0028603F"/>
    <w:rsid w:val="002B4DE8"/>
    <w:rsid w:val="002C49FD"/>
    <w:rsid w:val="002D6D58"/>
    <w:rsid w:val="002F4F37"/>
    <w:rsid w:val="00387709"/>
    <w:rsid w:val="003B5342"/>
    <w:rsid w:val="00444D2E"/>
    <w:rsid w:val="004518A8"/>
    <w:rsid w:val="004520A0"/>
    <w:rsid w:val="00461F59"/>
    <w:rsid w:val="00514A81"/>
    <w:rsid w:val="00524433"/>
    <w:rsid w:val="005256B1"/>
    <w:rsid w:val="00530981"/>
    <w:rsid w:val="00560E61"/>
    <w:rsid w:val="005811AD"/>
    <w:rsid w:val="005A018C"/>
    <w:rsid w:val="005D763D"/>
    <w:rsid w:val="005E798C"/>
    <w:rsid w:val="0061743C"/>
    <w:rsid w:val="00625947"/>
    <w:rsid w:val="0062678C"/>
    <w:rsid w:val="00627A63"/>
    <w:rsid w:val="00630EA6"/>
    <w:rsid w:val="00665086"/>
    <w:rsid w:val="0067098D"/>
    <w:rsid w:val="006735B9"/>
    <w:rsid w:val="006B5FEF"/>
    <w:rsid w:val="007077F2"/>
    <w:rsid w:val="00721B68"/>
    <w:rsid w:val="00742A7A"/>
    <w:rsid w:val="0076492F"/>
    <w:rsid w:val="00770543"/>
    <w:rsid w:val="00774121"/>
    <w:rsid w:val="007E7DE1"/>
    <w:rsid w:val="008267C3"/>
    <w:rsid w:val="00830BC1"/>
    <w:rsid w:val="00887A1D"/>
    <w:rsid w:val="008C246B"/>
    <w:rsid w:val="008D5736"/>
    <w:rsid w:val="008F6612"/>
    <w:rsid w:val="00904089"/>
    <w:rsid w:val="00914416"/>
    <w:rsid w:val="00920B15"/>
    <w:rsid w:val="009376AC"/>
    <w:rsid w:val="00995FD0"/>
    <w:rsid w:val="009A18F3"/>
    <w:rsid w:val="009A3202"/>
    <w:rsid w:val="009A5A55"/>
    <w:rsid w:val="009B6850"/>
    <w:rsid w:val="009E5F55"/>
    <w:rsid w:val="00A166AC"/>
    <w:rsid w:val="00A57D50"/>
    <w:rsid w:val="00A92CE0"/>
    <w:rsid w:val="00AB49B6"/>
    <w:rsid w:val="00AC21A0"/>
    <w:rsid w:val="00AC6BC8"/>
    <w:rsid w:val="00AC6E5D"/>
    <w:rsid w:val="00AF62EF"/>
    <w:rsid w:val="00B161E5"/>
    <w:rsid w:val="00B176DC"/>
    <w:rsid w:val="00B30090"/>
    <w:rsid w:val="00B37E55"/>
    <w:rsid w:val="00B64FD3"/>
    <w:rsid w:val="00B83AB9"/>
    <w:rsid w:val="00B8519B"/>
    <w:rsid w:val="00C03867"/>
    <w:rsid w:val="00C045BA"/>
    <w:rsid w:val="00C23619"/>
    <w:rsid w:val="00C94B74"/>
    <w:rsid w:val="00C94FFA"/>
    <w:rsid w:val="00CD106D"/>
    <w:rsid w:val="00CF245D"/>
    <w:rsid w:val="00D30988"/>
    <w:rsid w:val="00D41498"/>
    <w:rsid w:val="00D7540A"/>
    <w:rsid w:val="00D75F88"/>
    <w:rsid w:val="00D8050E"/>
    <w:rsid w:val="00D849D7"/>
    <w:rsid w:val="00DC0356"/>
    <w:rsid w:val="00DD022E"/>
    <w:rsid w:val="00DD0BD1"/>
    <w:rsid w:val="00DD1541"/>
    <w:rsid w:val="00DF6A3E"/>
    <w:rsid w:val="00E4253C"/>
    <w:rsid w:val="00E63B9C"/>
    <w:rsid w:val="00E713F1"/>
    <w:rsid w:val="00E873A1"/>
    <w:rsid w:val="00E87C3F"/>
    <w:rsid w:val="00E915B2"/>
    <w:rsid w:val="00E939E4"/>
    <w:rsid w:val="00EB051C"/>
    <w:rsid w:val="00EF0855"/>
    <w:rsid w:val="00F50AF3"/>
    <w:rsid w:val="00F76A54"/>
    <w:rsid w:val="00F96A86"/>
    <w:rsid w:val="00FD0E75"/>
    <w:rsid w:val="00FD28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04C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C24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C24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C24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24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24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24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24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24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24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24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24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C24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24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24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24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24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24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246B"/>
    <w:rPr>
      <w:rFonts w:eastAsiaTheme="majorEastAsia" w:cstheme="majorBidi"/>
      <w:color w:val="272727" w:themeColor="text1" w:themeTint="D8"/>
    </w:rPr>
  </w:style>
  <w:style w:type="paragraph" w:styleId="Ttulo">
    <w:name w:val="Title"/>
    <w:basedOn w:val="Normal"/>
    <w:next w:val="Normal"/>
    <w:link w:val="TtuloCar"/>
    <w:uiPriority w:val="10"/>
    <w:qFormat/>
    <w:rsid w:val="008C24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24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24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24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246B"/>
    <w:pPr>
      <w:spacing w:before="160"/>
      <w:jc w:val="center"/>
    </w:pPr>
    <w:rPr>
      <w:i/>
      <w:iCs/>
      <w:color w:val="404040" w:themeColor="text1" w:themeTint="BF"/>
    </w:rPr>
  </w:style>
  <w:style w:type="character" w:customStyle="1" w:styleId="CitaCar">
    <w:name w:val="Cita Car"/>
    <w:basedOn w:val="Fuentedeprrafopredeter"/>
    <w:link w:val="Cita"/>
    <w:uiPriority w:val="29"/>
    <w:rsid w:val="008C246B"/>
    <w:rPr>
      <w:i/>
      <w:iCs/>
      <w:color w:val="404040" w:themeColor="text1" w:themeTint="BF"/>
    </w:rPr>
  </w:style>
  <w:style w:type="paragraph" w:styleId="Prrafodelista">
    <w:name w:val="List Paragraph"/>
    <w:basedOn w:val="Normal"/>
    <w:uiPriority w:val="34"/>
    <w:qFormat/>
    <w:rsid w:val="008C246B"/>
    <w:pPr>
      <w:ind w:left="720"/>
      <w:contextualSpacing/>
    </w:pPr>
  </w:style>
  <w:style w:type="character" w:styleId="nfasisintenso">
    <w:name w:val="Intense Emphasis"/>
    <w:basedOn w:val="Fuentedeprrafopredeter"/>
    <w:uiPriority w:val="21"/>
    <w:qFormat/>
    <w:rsid w:val="008C246B"/>
    <w:rPr>
      <w:i/>
      <w:iCs/>
      <w:color w:val="0F4761" w:themeColor="accent1" w:themeShade="BF"/>
    </w:rPr>
  </w:style>
  <w:style w:type="paragraph" w:styleId="Citadestacada">
    <w:name w:val="Intense Quote"/>
    <w:basedOn w:val="Normal"/>
    <w:next w:val="Normal"/>
    <w:link w:val="CitadestacadaCar"/>
    <w:uiPriority w:val="30"/>
    <w:qFormat/>
    <w:rsid w:val="008C2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246B"/>
    <w:rPr>
      <w:i/>
      <w:iCs/>
      <w:color w:val="0F4761" w:themeColor="accent1" w:themeShade="BF"/>
    </w:rPr>
  </w:style>
  <w:style w:type="character" w:styleId="Referenciaintensa">
    <w:name w:val="Intense Reference"/>
    <w:basedOn w:val="Fuentedeprrafopredeter"/>
    <w:uiPriority w:val="32"/>
    <w:qFormat/>
    <w:rsid w:val="008C246B"/>
    <w:rPr>
      <w:b/>
      <w:bCs/>
      <w:smallCaps/>
      <w:color w:val="0F4761" w:themeColor="accent1" w:themeShade="BF"/>
      <w:spacing w:val="5"/>
    </w:rPr>
  </w:style>
  <w:style w:type="character" w:styleId="Hipervnculo">
    <w:name w:val="Hyperlink"/>
    <w:basedOn w:val="Fuentedeprrafopredeter"/>
    <w:uiPriority w:val="99"/>
    <w:unhideWhenUsed/>
    <w:rsid w:val="001863AE"/>
    <w:rPr>
      <w:color w:val="467886" w:themeColor="hyperlink"/>
      <w:u w:val="single"/>
    </w:rPr>
  </w:style>
  <w:style w:type="character" w:styleId="Mencinsinresolver">
    <w:name w:val="Unresolved Mention"/>
    <w:basedOn w:val="Fuentedeprrafopredeter"/>
    <w:uiPriority w:val="99"/>
    <w:semiHidden/>
    <w:unhideWhenUsed/>
    <w:rsid w:val="001863AE"/>
    <w:rPr>
      <w:color w:val="605E5C"/>
      <w:shd w:val="clear" w:color="auto" w:fill="E1DFDD"/>
    </w:rPr>
  </w:style>
  <w:style w:type="paragraph" w:styleId="Textonotapie">
    <w:name w:val="footnote text"/>
    <w:basedOn w:val="Normal"/>
    <w:link w:val="TextonotapieCar"/>
    <w:uiPriority w:val="99"/>
    <w:semiHidden/>
    <w:unhideWhenUsed/>
    <w:rsid w:val="001863A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863AE"/>
    <w:rPr>
      <w:sz w:val="20"/>
      <w:szCs w:val="20"/>
    </w:rPr>
  </w:style>
  <w:style w:type="character" w:styleId="Refdenotaalpie">
    <w:name w:val="footnote reference"/>
    <w:basedOn w:val="Fuentedeprrafopredeter"/>
    <w:uiPriority w:val="99"/>
    <w:semiHidden/>
    <w:unhideWhenUsed/>
    <w:rsid w:val="001863AE"/>
    <w:rPr>
      <w:vertAlign w:val="superscript"/>
    </w:rPr>
  </w:style>
  <w:style w:type="paragraph" w:styleId="Encabezado">
    <w:name w:val="header"/>
    <w:basedOn w:val="Normal"/>
    <w:link w:val="EncabezadoCar"/>
    <w:uiPriority w:val="99"/>
    <w:unhideWhenUsed/>
    <w:rsid w:val="00560E6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60E61"/>
  </w:style>
  <w:style w:type="paragraph" w:styleId="Piedepgina">
    <w:name w:val="footer"/>
    <w:basedOn w:val="Normal"/>
    <w:link w:val="PiedepginaCar"/>
    <w:uiPriority w:val="99"/>
    <w:unhideWhenUsed/>
    <w:rsid w:val="00560E6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60E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3.tm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unici&#243;n.org" TargetMode="External"/><Relationship Id="rId12" Type="http://schemas.openxmlformats.org/officeDocument/2006/relationships/hyperlink" Target="https://web.guardiacivil.es/es/tramites/autorizaciones-de-armas-y-explosivos/controldearmas/pruebas_licenciasarmas/licenciasC/index.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guardiacivil.es/es/tramites/autorizaciones-de-armas-y-explosivos/controldearmas/pruebas_licenciasarmas/Actos_de_la_prueba_practica__licencias_D__E_y_AEM/index.html" TargetMode="External"/><Relationship Id="rId5" Type="http://schemas.openxmlformats.org/officeDocument/2006/relationships/footnotes" Target="footnotes.xml"/><Relationship Id="rId15" Type="http://schemas.openxmlformats.org/officeDocument/2006/relationships/image" Target="media/image5.tmp"/><Relationship Id="rId10" Type="http://schemas.openxmlformats.org/officeDocument/2006/relationships/hyperlink" Target="https://web.guardiacivil.es/es/tramites/autorizaciones-de-armas-y-explosivos/controldearmas/pruebas_licenciasarmas/licenciasDEAEM/index.html" TargetMode="External"/><Relationship Id="rId4" Type="http://schemas.openxmlformats.org/officeDocument/2006/relationships/webSettings" Target="webSettings.xml"/><Relationship Id="rId9" Type="http://schemas.openxmlformats.org/officeDocument/2006/relationships/image" Target="media/image2.tmp"/><Relationship Id="rId14" Type="http://schemas.openxmlformats.org/officeDocument/2006/relationships/image" Target="media/image4.tmp"/></Relationships>
</file>

<file path=word/_rels/footnotes.xml.rels><?xml version="1.0" encoding="UTF-8" standalone="yes"?>
<Relationships xmlns="http://schemas.openxmlformats.org/package/2006/relationships"><Relationship Id="rId3" Type="http://schemas.openxmlformats.org/officeDocument/2006/relationships/hyperlink" Target="https://cdn.website-editor.net/s/6dcfef937ddc4a15a23cbe9c69efbdd7/files/uploaded/REGLAMENTO+DE+RETROCARGA+2025.pdf?Expires=1774180181&amp;Signature=a5gok58emMV1uNBtLhnPv-HsD2t3FmMN2s15iXd6QjLNYpIa57HehrYtIr64RUTnqnZ4qdf5E52vKSgjN6~ekkDk1AN0gJCkLvw0ozTIJv8P5yZ1Oyc8bRXGsy-aU84wpv3jgUiFcP4HN0PtPIeC32bxa-uTv84eLXmhPdf9no9qAs~TnnhIB2os0zZQe-mXY0pdsCwnUGuNa990ixrAb~7fHoGPxIsaQ882~QBWLrDwBPzNU2l7v2DVyb-nSpMXZV5U6BncSvbEhMVbt-Pbq3BwlfpYcY3~bBuqCTtt9N-JAjNT-9LdNqO8~0ibyN0Z29qjFB6-nadIvXB90x~kdw__&amp;Key-Pair-Id=K2NXBXLF010TJW" TargetMode="External"/><Relationship Id="rId2" Type="http://schemas.openxmlformats.org/officeDocument/2006/relationships/hyperlink" Target="https://es.wikipedia.org/wiki/6_mm_Flobert" TargetMode="External"/><Relationship Id="rId1" Type="http://schemas.openxmlformats.org/officeDocument/2006/relationships/hyperlink" Target="https://municion.org/producto/6-mm-flobert-original/" TargetMode="External"/><Relationship Id="rId4" Type="http://schemas.openxmlformats.org/officeDocument/2006/relationships/hyperlink" Target="https://www.tirolimpico.org/normativa/normativa-armas-historic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10797</Words>
  <Characters>59386</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2026-02-24T17:20:00Z</dcterms:created>
  <dcterms:modified xsi:type="dcterms:W3CDTF">2026-02-24T17:20:00Z</dcterms:modified>
</cp:coreProperties>
</file>